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4D" w:rsidRDefault="0033074D" w:rsidP="0033074D"/>
    <w:p w:rsidR="0033074D" w:rsidRDefault="0033074D" w:rsidP="0033074D">
      <w:r>
        <w:t>NADZORNI ODBOR</w:t>
      </w:r>
    </w:p>
    <w:p w:rsidR="0033074D" w:rsidRDefault="0033074D" w:rsidP="0033074D">
      <w:r>
        <w:t xml:space="preserve">TURISTIČKE ZAJEDNICE </w:t>
      </w:r>
    </w:p>
    <w:p w:rsidR="0033074D" w:rsidRDefault="0033074D" w:rsidP="0033074D">
      <w:r>
        <w:t>GRADA VUKOVARA</w:t>
      </w:r>
    </w:p>
    <w:p w:rsidR="0033074D" w:rsidRDefault="0033074D" w:rsidP="0033074D"/>
    <w:p w:rsidR="0033074D" w:rsidRDefault="0033074D" w:rsidP="003307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SKUPŠTINA</w:t>
      </w:r>
    </w:p>
    <w:p w:rsidR="0033074D" w:rsidRDefault="0033074D" w:rsidP="003307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TURISTIČKE ZAJEDNICE</w:t>
      </w:r>
    </w:p>
    <w:p w:rsidR="0033074D" w:rsidRDefault="0033074D" w:rsidP="0033074D"/>
    <w:p w:rsidR="0033074D" w:rsidRDefault="0033074D" w:rsidP="0033074D"/>
    <w:p w:rsidR="0033074D" w:rsidRDefault="0033074D" w:rsidP="0033074D"/>
    <w:p w:rsidR="0033074D" w:rsidRDefault="0033074D" w:rsidP="0033074D">
      <w:r>
        <w:t>PREDMET:  Izvješće o obavljenom nadzoru Nadzornog odbora Turističke zajednice</w:t>
      </w:r>
    </w:p>
    <w:p w:rsidR="0033074D" w:rsidRDefault="0033074D" w:rsidP="0033074D">
      <w:r>
        <w:tab/>
        <w:t xml:space="preserve">         </w:t>
      </w:r>
      <w:r w:rsidR="002D08C2">
        <w:t xml:space="preserve"> </w:t>
      </w:r>
      <w:r>
        <w:t>nad poslovanjem TZ grada Vukovara za period od 01.01.-31.12. 201</w:t>
      </w:r>
      <w:r w:rsidR="00EC4ECC">
        <w:t>3</w:t>
      </w:r>
      <w:r>
        <w:t>.g.</w:t>
      </w:r>
    </w:p>
    <w:p w:rsidR="0033074D" w:rsidRDefault="0033074D" w:rsidP="0033074D"/>
    <w:p w:rsidR="0033074D" w:rsidRDefault="0033074D" w:rsidP="0033074D">
      <w:pPr>
        <w:numPr>
          <w:ilvl w:val="0"/>
          <w:numId w:val="1"/>
        </w:numPr>
        <w:tabs>
          <w:tab w:val="num" w:pos="364"/>
        </w:tabs>
        <w:suppressAutoHyphens w:val="0"/>
        <w:overflowPunct w:val="0"/>
        <w:autoSpaceDE w:val="0"/>
        <w:autoSpaceDN w:val="0"/>
        <w:adjustRightInd w:val="0"/>
        <w:ind w:left="364" w:hanging="364"/>
        <w:jc w:val="both"/>
        <w:rPr>
          <w:b/>
          <w:bCs/>
        </w:rPr>
      </w:pPr>
      <w:r>
        <w:rPr>
          <w:b/>
          <w:bCs/>
        </w:rPr>
        <w:t xml:space="preserve">Opći podaci o samome nadzoru </w:t>
      </w:r>
    </w:p>
    <w:p w:rsidR="0033074D" w:rsidRDefault="0033074D" w:rsidP="0033074D">
      <w:pPr>
        <w:overflowPunct w:val="0"/>
        <w:autoSpaceDE w:val="0"/>
        <w:autoSpaceDN w:val="0"/>
        <w:adjustRightInd w:val="0"/>
        <w:jc w:val="both"/>
      </w:pPr>
      <w:r>
        <w:t>Nadzorni odbor TZ grada Vukovara obavio je dana</w:t>
      </w:r>
      <w:r w:rsidR="00AA345F">
        <w:t xml:space="preserve"> 20.</w:t>
      </w:r>
      <w:r>
        <w:t xml:space="preserve"> </w:t>
      </w:r>
      <w:r w:rsidR="00EC4ECC">
        <w:t xml:space="preserve">veljače </w:t>
      </w:r>
      <w:r>
        <w:t>201</w:t>
      </w:r>
      <w:r w:rsidR="00EC4ECC">
        <w:t>4</w:t>
      </w:r>
      <w:r>
        <w:t>. godine nadzor nad poslovanjem TZ grada Vukovara za razdoblje 01. siječnja – 31. prosinca 201</w:t>
      </w:r>
      <w:r w:rsidR="00EC4ECC">
        <w:t>3</w:t>
      </w:r>
      <w:r>
        <w:t xml:space="preserve">. godine. </w:t>
      </w:r>
    </w:p>
    <w:p w:rsidR="0033074D" w:rsidRDefault="0033074D" w:rsidP="0033074D">
      <w:pPr>
        <w:numPr>
          <w:ilvl w:val="1"/>
          <w:numId w:val="1"/>
        </w:numPr>
        <w:tabs>
          <w:tab w:val="num" w:pos="724"/>
        </w:tabs>
        <w:suppressAutoHyphens w:val="0"/>
        <w:overflowPunct w:val="0"/>
        <w:autoSpaceDE w:val="0"/>
        <w:autoSpaceDN w:val="0"/>
        <w:adjustRightInd w:val="0"/>
        <w:ind w:left="724" w:hanging="364"/>
        <w:jc w:val="both"/>
      </w:pPr>
      <w:r>
        <w:t xml:space="preserve">Obavljen je nadzor nad: </w:t>
      </w:r>
    </w:p>
    <w:p w:rsidR="0033074D" w:rsidRDefault="0033074D" w:rsidP="0033074D">
      <w:pPr>
        <w:tabs>
          <w:tab w:val="left" w:pos="1423"/>
        </w:tabs>
        <w:autoSpaceDE w:val="0"/>
        <w:autoSpaceDN w:val="0"/>
        <w:adjustRightInd w:val="0"/>
        <w:spacing w:line="232" w:lineRule="auto"/>
        <w:ind w:left="1084"/>
      </w:pPr>
      <w:r>
        <w:t>o</w:t>
      </w:r>
      <w:r>
        <w:tab/>
        <w:t>vođenjem poslova turističke zajednice,</w:t>
      </w:r>
    </w:p>
    <w:p w:rsidR="0033074D" w:rsidRDefault="0033074D" w:rsidP="0033074D">
      <w:pPr>
        <w:autoSpaceDE w:val="0"/>
        <w:autoSpaceDN w:val="0"/>
        <w:adjustRightInd w:val="0"/>
        <w:spacing w:line="46" w:lineRule="exact"/>
      </w:pPr>
    </w:p>
    <w:p w:rsidR="0033074D" w:rsidRDefault="0033074D" w:rsidP="0033074D">
      <w:pPr>
        <w:tabs>
          <w:tab w:val="left" w:pos="1423"/>
        </w:tabs>
        <w:overflowPunct w:val="0"/>
        <w:autoSpaceDE w:val="0"/>
        <w:autoSpaceDN w:val="0"/>
        <w:adjustRightInd w:val="0"/>
        <w:spacing w:line="213" w:lineRule="auto"/>
        <w:ind w:left="1444" w:hanging="360"/>
      </w:pPr>
      <w:r>
        <w:t>o</w:t>
      </w:r>
      <w:r>
        <w:tab/>
        <w:t>materijalnim i financijskim poslovanjem i raspolaganjem sredstvima turističke zajednice,</w:t>
      </w:r>
    </w:p>
    <w:p w:rsidR="0033074D" w:rsidRDefault="0033074D" w:rsidP="0033074D">
      <w:pPr>
        <w:numPr>
          <w:ilvl w:val="2"/>
          <w:numId w:val="2"/>
        </w:numPr>
        <w:tabs>
          <w:tab w:val="num" w:pos="1444"/>
        </w:tabs>
        <w:suppressAutoHyphens w:val="0"/>
        <w:overflowPunct w:val="0"/>
        <w:autoSpaceDE w:val="0"/>
        <w:autoSpaceDN w:val="0"/>
        <w:adjustRightInd w:val="0"/>
        <w:spacing w:line="232" w:lineRule="auto"/>
        <w:ind w:left="1444" w:hanging="364"/>
        <w:jc w:val="both"/>
      </w:pPr>
      <w:r>
        <w:t>izvršenjem i provedbom programa rada i financijskog plana turističke zajednice</w:t>
      </w:r>
    </w:p>
    <w:p w:rsidR="0033074D" w:rsidRDefault="0033074D" w:rsidP="0033074D">
      <w:pPr>
        <w:suppressAutoHyphens w:val="0"/>
        <w:overflowPunct w:val="0"/>
        <w:autoSpaceDE w:val="0"/>
        <w:autoSpaceDN w:val="0"/>
        <w:adjustRightInd w:val="0"/>
        <w:spacing w:line="232" w:lineRule="auto"/>
        <w:ind w:left="1080"/>
        <w:jc w:val="both"/>
      </w:pPr>
      <w:r>
        <w:t xml:space="preserve"> </w:t>
      </w:r>
    </w:p>
    <w:p w:rsidR="0033074D" w:rsidRDefault="0033074D" w:rsidP="0033074D">
      <w:pPr>
        <w:suppressAutoHyphens w:val="0"/>
        <w:overflowPunct w:val="0"/>
        <w:autoSpaceDE w:val="0"/>
        <w:autoSpaceDN w:val="0"/>
        <w:adjustRightInd w:val="0"/>
        <w:spacing w:line="237" w:lineRule="auto"/>
        <w:jc w:val="both"/>
      </w:pPr>
      <w:r>
        <w:t>Nadzorni odbor pregledao je slijedeću dokumentaciju: izvršenje financijskog plana TZ grada Vukovara za nadzirano razdoblje: tablicu ostvarenja financijskog plana s iskazanim indeksima i strukturom, temeljna financijska izvješća: račun prihoda i rashoda (obrazac PR-RAS-NPF), bilanca (obrazac BIL-NPF).</w:t>
      </w:r>
    </w:p>
    <w:p w:rsidR="0033074D" w:rsidRDefault="0033074D" w:rsidP="0033074D">
      <w:pPr>
        <w:autoSpaceDE w:val="0"/>
        <w:autoSpaceDN w:val="0"/>
        <w:adjustRightInd w:val="0"/>
        <w:spacing w:line="246" w:lineRule="exact"/>
        <w:rPr>
          <w:rFonts w:ascii="Garamond" w:hAnsi="Garamond" w:cs="Garamond"/>
        </w:rPr>
      </w:pPr>
    </w:p>
    <w:p w:rsidR="0033074D" w:rsidRDefault="0033074D" w:rsidP="0033074D">
      <w:pPr>
        <w:pStyle w:val="ListParagraph"/>
      </w:pPr>
    </w:p>
    <w:p w:rsidR="0033074D" w:rsidRDefault="0033074D" w:rsidP="0033074D">
      <w:pPr>
        <w:numPr>
          <w:ilvl w:val="0"/>
          <w:numId w:val="3"/>
        </w:numPr>
        <w:tabs>
          <w:tab w:val="num" w:pos="364"/>
        </w:tabs>
        <w:suppressAutoHyphens w:val="0"/>
        <w:overflowPunct w:val="0"/>
        <w:autoSpaceDE w:val="0"/>
        <w:autoSpaceDN w:val="0"/>
        <w:adjustRightInd w:val="0"/>
        <w:spacing w:line="237" w:lineRule="auto"/>
        <w:ind w:left="364" w:hanging="364"/>
        <w:jc w:val="both"/>
        <w:rPr>
          <w:b/>
          <w:bCs/>
        </w:rPr>
      </w:pPr>
      <w:r>
        <w:rPr>
          <w:b/>
          <w:bCs/>
        </w:rPr>
        <w:t xml:space="preserve">Vođenje poslova turističke zajednice </w:t>
      </w:r>
    </w:p>
    <w:p w:rsidR="0033074D" w:rsidRDefault="0033074D" w:rsidP="0033074D">
      <w:pPr>
        <w:autoSpaceDE w:val="0"/>
        <w:autoSpaceDN w:val="0"/>
        <w:adjustRightInd w:val="0"/>
        <w:spacing w:line="1" w:lineRule="exact"/>
        <w:rPr>
          <w:b/>
          <w:bCs/>
        </w:rPr>
      </w:pPr>
    </w:p>
    <w:p w:rsidR="0033074D" w:rsidRDefault="0033074D" w:rsidP="0033074D">
      <w:pPr>
        <w:autoSpaceDE w:val="0"/>
        <w:autoSpaceDN w:val="0"/>
        <w:adjustRightInd w:val="0"/>
        <w:spacing w:line="1" w:lineRule="exact"/>
        <w:rPr>
          <w:b/>
          <w:bCs/>
        </w:rPr>
      </w:pPr>
    </w:p>
    <w:p w:rsidR="0033074D" w:rsidRDefault="0033074D" w:rsidP="0033074D">
      <w:pPr>
        <w:overflowPunct w:val="0"/>
        <w:autoSpaceDE w:val="0"/>
        <w:autoSpaceDN w:val="0"/>
        <w:adjustRightInd w:val="0"/>
        <w:spacing w:line="237" w:lineRule="auto"/>
        <w:ind w:left="364"/>
        <w:jc w:val="both"/>
        <w:rPr>
          <w:b/>
          <w:bCs/>
        </w:rPr>
      </w:pPr>
      <w:r>
        <w:rPr>
          <w:b/>
          <w:bCs/>
        </w:rPr>
        <w:t>2.1. Djeluje li turistička zajednica u skladu sa zakonima i aktima turističke zajednice te odlukama Skupštine i Turističkog vijeća.</w:t>
      </w:r>
    </w:p>
    <w:p w:rsidR="0033074D" w:rsidRDefault="0033074D" w:rsidP="0033074D">
      <w:pPr>
        <w:overflowPunct w:val="0"/>
        <w:autoSpaceDE w:val="0"/>
        <w:autoSpaceDN w:val="0"/>
        <w:adjustRightInd w:val="0"/>
        <w:spacing w:line="237" w:lineRule="auto"/>
        <w:ind w:left="364"/>
        <w:jc w:val="both"/>
      </w:pPr>
    </w:p>
    <w:p w:rsidR="0033074D" w:rsidRDefault="0033074D" w:rsidP="0033074D">
      <w:pPr>
        <w:autoSpaceDE w:val="0"/>
        <w:autoSpaceDN w:val="0"/>
        <w:adjustRightInd w:val="0"/>
        <w:spacing w:line="1" w:lineRule="exact"/>
      </w:pPr>
    </w:p>
    <w:p w:rsidR="00DB53AD" w:rsidRDefault="0033074D" w:rsidP="00DB53AD">
      <w:pPr>
        <w:widowControl/>
        <w:numPr>
          <w:ilvl w:val="0"/>
          <w:numId w:val="6"/>
        </w:numPr>
        <w:suppressAutoHyphens w:val="0"/>
        <w:jc w:val="both"/>
      </w:pPr>
      <w:r>
        <w:t>U drugoj polovini 201</w:t>
      </w:r>
      <w:r w:rsidR="00EC4ECC">
        <w:t>3</w:t>
      </w:r>
      <w:r>
        <w:t>. godine održane su dvije sjednice Turističkog vijeća, u prosjeku svaka tri m</w:t>
      </w:r>
      <w:r w:rsidR="00EC4ECC">
        <w:t xml:space="preserve">jeseca. </w:t>
      </w:r>
      <w:r w:rsidR="00DB53AD">
        <w:t>12.</w:t>
      </w:r>
      <w:r w:rsidR="00EC4ECC">
        <w:t xml:space="preserve"> sjednica održana je 2</w:t>
      </w:r>
      <w:r w:rsidR="00DB53AD">
        <w:t>9</w:t>
      </w:r>
      <w:r>
        <w:t>. listopada 201</w:t>
      </w:r>
      <w:r w:rsidR="00EC4ECC">
        <w:t>3</w:t>
      </w:r>
      <w:r>
        <w:t xml:space="preserve">.g. i na njoj je Turističko vijeće usvojilo zapisnik s prethodne sjednice te raspravljalo o Izvješću direktorice Turističkog ureda o aktivnostima od </w:t>
      </w:r>
      <w:r w:rsidR="00DB53AD">
        <w:t xml:space="preserve">prethodne, 11. </w:t>
      </w:r>
      <w:r>
        <w:t xml:space="preserve"> sjednice Turističk</w:t>
      </w:r>
      <w:r w:rsidR="00DB53AD">
        <w:t>og vijeća i i tijeku realizacije Programa rada. Članovi vijeća su usvojili Izvješća NO o poslovanju TZ za period od 01.01.-31.12.2012.g., usvojili rebalans za 2013.g. kao i  Prijedlog programa rada TZ-a s financijskim planom za 2014.g. te u zakonskom roku podnijeli</w:t>
      </w:r>
      <w:r>
        <w:t xml:space="preserve"> Skupštini na usvajanje. </w:t>
      </w:r>
    </w:p>
    <w:p w:rsidR="00DB53AD" w:rsidRDefault="0033074D" w:rsidP="00F97453">
      <w:pPr>
        <w:widowControl/>
        <w:suppressAutoHyphens w:val="0"/>
        <w:ind w:left="720"/>
        <w:jc w:val="both"/>
      </w:pPr>
      <w:r>
        <w:t xml:space="preserve">Dana 27. prosinca održana je </w:t>
      </w:r>
      <w:r w:rsidR="00DB53AD">
        <w:t>13</w:t>
      </w:r>
      <w:r>
        <w:t xml:space="preserve">. sjednica Turističkog vijeća na kojoj se nakon usvajanja Zapisnika s prethodne sjednice raspravljalo o Izvješću direktorice Turističkog ureda o aktivnostima i tijeku realizacije Programa rada od </w:t>
      </w:r>
      <w:r w:rsidR="00DB53AD">
        <w:t>12</w:t>
      </w:r>
      <w:r>
        <w:t xml:space="preserve">. sjednice Turističkog vijeća, </w:t>
      </w:r>
      <w:r w:rsidR="00DB53AD">
        <w:t>usvojilo Izvješea NO o poslovanju TZ za period od 01.01.-30.06.2013.g., usv</w:t>
      </w:r>
      <w:r w:rsidR="00402CB1">
        <w:t>ojio Plan</w:t>
      </w:r>
      <w:r w:rsidR="00DB53AD" w:rsidRPr="005A58E4">
        <w:t xml:space="preserve"> utroška sredstava boravišne pristojbe koje TZ uplaćuje Gradu</w:t>
      </w:r>
      <w:r w:rsidR="00402CB1">
        <w:t xml:space="preserve"> te imenovala</w:t>
      </w:r>
      <w:r w:rsidR="00AA345F">
        <w:t xml:space="preserve"> inventurnu</w:t>
      </w:r>
      <w:r w:rsidR="00DB53AD">
        <w:t xml:space="preserve"> komisije i djelokrug rada</w:t>
      </w:r>
      <w:r w:rsidR="00402CB1">
        <w:t>, suk</w:t>
      </w:r>
      <w:r w:rsidR="00F97453">
        <w:t>ladno naputku Državne revizije.</w:t>
      </w:r>
    </w:p>
    <w:p w:rsidR="00DB53AD" w:rsidRDefault="00DB53AD" w:rsidP="00DB53AD">
      <w:pPr>
        <w:widowControl/>
        <w:suppressAutoHyphens w:val="0"/>
        <w:ind w:left="720"/>
        <w:jc w:val="both"/>
      </w:pPr>
    </w:p>
    <w:p w:rsidR="00DB53AD" w:rsidRDefault="00DB53AD" w:rsidP="00DB53AD">
      <w:pPr>
        <w:widowControl/>
        <w:suppressAutoHyphens w:val="0"/>
        <w:ind w:left="720"/>
        <w:jc w:val="both"/>
      </w:pPr>
    </w:p>
    <w:p w:rsidR="0033074D" w:rsidRDefault="0033074D" w:rsidP="00DB53AD">
      <w:pPr>
        <w:widowControl/>
        <w:suppressAutoHyphens w:val="0"/>
        <w:ind w:left="720"/>
        <w:jc w:val="both"/>
      </w:pPr>
      <w:r>
        <w:lastRenderedPageBreak/>
        <w:t xml:space="preserve">U nadziranom periodu, </w:t>
      </w:r>
      <w:r w:rsidR="002A553C">
        <w:t>sazvana je jedna sjednica Skupštine za dan</w:t>
      </w:r>
      <w:r>
        <w:t xml:space="preserve">  27. prosinca 201</w:t>
      </w:r>
      <w:r w:rsidR="00EC4ECC">
        <w:t>3</w:t>
      </w:r>
      <w:r w:rsidR="002A553C">
        <w:t>.g.</w:t>
      </w:r>
      <w:r w:rsidR="00A5713E">
        <w:t xml:space="preserve"> n</w:t>
      </w:r>
      <w:r w:rsidR="002A553C">
        <w:t xml:space="preserve">a </w:t>
      </w:r>
      <w:r>
        <w:t xml:space="preserve"> kojoj je</w:t>
      </w:r>
      <w:r w:rsidR="002A553C">
        <w:t xml:space="preserve"> trebao biti</w:t>
      </w:r>
      <w:r>
        <w:t xml:space="preserve"> usvojen Prijedlog programa rada TZ grada Vukovara za 201</w:t>
      </w:r>
      <w:r w:rsidR="00AA345F">
        <w:t>4</w:t>
      </w:r>
      <w:r>
        <w:t>.g. što je u skladu s propisanim zakonskim rokovima o podnošenju i usvajanju programa rada za narednu godinu.</w:t>
      </w:r>
      <w:r w:rsidR="002A553C">
        <w:t xml:space="preserve"> Budući nije bilo kvoruma, Skupština nije održana do kraja 2013.g.</w:t>
      </w:r>
      <w:r w:rsidR="00F97453">
        <w:t>, te će isti biti usvojen na sljedećpj skupštini, ali evidentno je da je TZ sazvala skupštinu, u za to predviđenom zakonskom roku.</w:t>
      </w:r>
    </w:p>
    <w:p w:rsidR="0033074D" w:rsidRDefault="0033074D" w:rsidP="0033074D">
      <w:pPr>
        <w:widowControl/>
        <w:numPr>
          <w:ilvl w:val="0"/>
          <w:numId w:val="4"/>
        </w:numPr>
        <w:suppressAutoHyphens w:val="0"/>
        <w:jc w:val="both"/>
      </w:pPr>
      <w:r>
        <w:t>Nadzorni odbor uvidom u aktivnosti tijela TZ grada Vukovara utvrđuje da ista izvršavaju sve poslove definirane Zakonom i Statutom TZ grada Vukovara kao i one planirane programom rada.</w:t>
      </w:r>
    </w:p>
    <w:p w:rsidR="0033074D" w:rsidRDefault="0033074D" w:rsidP="0033074D">
      <w:pPr>
        <w:widowControl/>
        <w:numPr>
          <w:ilvl w:val="0"/>
          <w:numId w:val="4"/>
        </w:numPr>
        <w:suppressAutoHyphens w:val="0"/>
        <w:jc w:val="both"/>
      </w:pPr>
      <w:r>
        <w:t>Sva tijela TZ grada Vukovara rade prema usvojenim Poslovnicima - Poslovnik rada Skupštine TZ grada Vukovara i Poslovnik rada Turističkog vijeća,</w:t>
      </w:r>
    </w:p>
    <w:p w:rsidR="0033074D" w:rsidRDefault="0033074D" w:rsidP="0033074D">
      <w:pPr>
        <w:widowControl/>
        <w:numPr>
          <w:ilvl w:val="0"/>
          <w:numId w:val="4"/>
        </w:numPr>
        <w:suppressAutoHyphens w:val="0"/>
        <w:jc w:val="both"/>
      </w:pPr>
      <w:r>
        <w:t xml:space="preserve"> Turistički ured TZ grada Vukovara radio je prema usvojenim pravilnicima usklađenim s novim Zakono o TZ: Pravilnik o radu TZ grada Vukovara,  Pravilnik o organizaciji i sistematizaciji radnih mjesta u Turističkom uredu TZ grada Vukovara, Pravilnik o plaćama zaposlenika u Turističkom uredu TZ grada Vukovara.</w:t>
      </w:r>
    </w:p>
    <w:p w:rsidR="0033074D" w:rsidRDefault="0033074D" w:rsidP="0033074D">
      <w:pPr>
        <w:autoSpaceDE w:val="0"/>
        <w:autoSpaceDN w:val="0"/>
        <w:adjustRightInd w:val="0"/>
        <w:spacing w:line="1" w:lineRule="exact"/>
      </w:pPr>
    </w:p>
    <w:p w:rsidR="0033074D" w:rsidRDefault="0033074D" w:rsidP="0033074D">
      <w:pPr>
        <w:autoSpaceDE w:val="0"/>
        <w:autoSpaceDN w:val="0"/>
        <w:adjustRightInd w:val="0"/>
        <w:spacing w:line="47" w:lineRule="exact"/>
      </w:pPr>
    </w:p>
    <w:p w:rsidR="0033074D" w:rsidRDefault="0033074D" w:rsidP="0033074D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16" w:lineRule="auto"/>
        <w:ind w:left="724" w:hanging="364"/>
        <w:jc w:val="both"/>
      </w:pPr>
      <w:r>
        <w:t>Nadzorni odbor utvrđuje da TZ grada Vukovara djeluje u skladu sa odlukama Skupštine i Turističkog vijeća, te da se drži naputaka Nadzornog odbora.</w:t>
      </w:r>
    </w:p>
    <w:p w:rsidR="0033074D" w:rsidRDefault="0033074D" w:rsidP="0033074D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16" w:lineRule="auto"/>
        <w:ind w:left="724" w:hanging="364"/>
        <w:jc w:val="both"/>
      </w:pPr>
      <w:r>
        <w:t xml:space="preserve"> TZ grada Vukovara je u 201</w:t>
      </w:r>
      <w:r w:rsidR="00EC4ECC">
        <w:t>3</w:t>
      </w:r>
      <w:r w:rsidR="00AA345F">
        <w:t>. godini</w:t>
      </w:r>
      <w:r>
        <w:t xml:space="preserve"> radila sukladno  Programu rada i Financijskom planu TZ grada Vukovara za 201</w:t>
      </w:r>
      <w:r w:rsidR="00EC4ECC">
        <w:t>3</w:t>
      </w:r>
      <w:r>
        <w:t>. godinu koji je donesen u skladu sa Zakonom i standardima u sustavu turističkih zajednica te usvojen na sjednici Skupštine održanoj 27. prosinca 201</w:t>
      </w:r>
      <w:r w:rsidR="00EC4ECC">
        <w:t>2</w:t>
      </w:r>
      <w:r>
        <w:t xml:space="preserve">.g., a temeljem prijedloga Turističkog vijeća usvojenog na 8. sjednici Turističkog vijeća održanoj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2</w:t>
      </w:r>
      <w:r w:rsidR="00EC4ECC">
        <w:t>9</w:t>
      </w:r>
      <w:r>
        <w:t>. listopada 201</w:t>
      </w:r>
      <w:r w:rsidR="00EC4ECC">
        <w:t>2</w:t>
      </w:r>
      <w:r>
        <w:t>. godine.</w:t>
      </w:r>
    </w:p>
    <w:p w:rsidR="0033074D" w:rsidRDefault="0033074D" w:rsidP="0033074D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16" w:lineRule="auto"/>
        <w:ind w:left="724" w:hanging="364"/>
        <w:jc w:val="both"/>
      </w:pPr>
      <w:r>
        <w:t>Slijedom obavljenog nadzora, Nadzorni odbor zaključuje da TZ grada djeluje u skladu sa odlukama Skupštine i Turističkog vijeća i da su se poštivali zakonski rokovi.</w:t>
      </w:r>
    </w:p>
    <w:p w:rsidR="0033074D" w:rsidRDefault="0033074D" w:rsidP="0033074D">
      <w:pPr>
        <w:suppressAutoHyphens w:val="0"/>
        <w:overflowPunct w:val="0"/>
        <w:autoSpaceDE w:val="0"/>
        <w:autoSpaceDN w:val="0"/>
        <w:adjustRightInd w:val="0"/>
        <w:spacing w:line="216" w:lineRule="auto"/>
        <w:ind w:left="360"/>
        <w:jc w:val="both"/>
      </w:pPr>
    </w:p>
    <w:p w:rsidR="0033074D" w:rsidRDefault="0033074D" w:rsidP="0033074D">
      <w:pPr>
        <w:suppressAutoHyphens w:val="0"/>
        <w:overflowPunct w:val="0"/>
        <w:autoSpaceDE w:val="0"/>
        <w:autoSpaceDN w:val="0"/>
        <w:adjustRightInd w:val="0"/>
        <w:spacing w:line="216" w:lineRule="auto"/>
        <w:ind w:left="360"/>
        <w:jc w:val="both"/>
        <w:rPr>
          <w:rFonts w:ascii="Garamond" w:hAnsi="Garamond" w:cs="Garamond"/>
        </w:rPr>
      </w:pPr>
    </w:p>
    <w:p w:rsidR="0033074D" w:rsidRDefault="0033074D" w:rsidP="0033074D">
      <w:pPr>
        <w:suppressAutoHyphens w:val="0"/>
        <w:overflowPunct w:val="0"/>
        <w:autoSpaceDE w:val="0"/>
        <w:autoSpaceDN w:val="0"/>
        <w:adjustRightInd w:val="0"/>
        <w:spacing w:line="216" w:lineRule="auto"/>
        <w:ind w:left="360"/>
        <w:jc w:val="both"/>
        <w:rPr>
          <w:rFonts w:ascii="Garamond" w:hAnsi="Garamond" w:cs="Garamond"/>
        </w:rPr>
      </w:pPr>
    </w:p>
    <w:p w:rsidR="0033074D" w:rsidRDefault="0033074D" w:rsidP="0033074D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Materijalno i financijsko poslovanje i raspolaganje sredstvima turističke zajednice i podružnica </w:t>
      </w:r>
    </w:p>
    <w:p w:rsidR="0033074D" w:rsidRDefault="0033074D" w:rsidP="0033074D">
      <w:pPr>
        <w:autoSpaceDE w:val="0"/>
        <w:autoSpaceDN w:val="0"/>
        <w:adjustRightInd w:val="0"/>
        <w:spacing w:line="1" w:lineRule="exact"/>
        <w:rPr>
          <w:rFonts w:ascii="Garamond" w:hAnsi="Garamond" w:cs="Garamond"/>
          <w:b/>
          <w:bCs/>
        </w:rPr>
      </w:pPr>
    </w:p>
    <w:p w:rsidR="0033074D" w:rsidRDefault="0033074D" w:rsidP="0033074D">
      <w:pPr>
        <w:overflowPunct w:val="0"/>
        <w:autoSpaceDE w:val="0"/>
        <w:autoSpaceDN w:val="0"/>
        <w:adjustRightInd w:val="0"/>
        <w:spacing w:line="237" w:lineRule="auto"/>
        <w:ind w:left="36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3.1. Usklađenost financijs</w:t>
      </w:r>
      <w:r w:rsidR="00096487">
        <w:rPr>
          <w:rFonts w:ascii="Garamond" w:hAnsi="Garamond" w:cs="Garamond"/>
          <w:b/>
          <w:bCs/>
        </w:rPr>
        <w:t>kog izvješća za razdoblje siječanj</w:t>
      </w:r>
      <w:r>
        <w:rPr>
          <w:rFonts w:ascii="Garamond" w:hAnsi="Garamond" w:cs="Garamond"/>
          <w:b/>
          <w:bCs/>
        </w:rPr>
        <w:t xml:space="preserve"> - prosinac 201</w:t>
      </w:r>
      <w:r w:rsidR="00A5713E">
        <w:rPr>
          <w:rFonts w:ascii="Garamond" w:hAnsi="Garamond" w:cs="Garamond"/>
          <w:b/>
          <w:bCs/>
        </w:rPr>
        <w:t>3</w:t>
      </w:r>
      <w:r>
        <w:rPr>
          <w:rFonts w:ascii="Garamond" w:hAnsi="Garamond" w:cs="Garamond"/>
          <w:b/>
          <w:bCs/>
        </w:rPr>
        <w:t>. godine sa stanjem u poslovnim knjigama turističke zajednice</w:t>
      </w:r>
    </w:p>
    <w:p w:rsidR="0033074D" w:rsidRDefault="0033074D" w:rsidP="0033074D">
      <w:pPr>
        <w:autoSpaceDE w:val="0"/>
        <w:autoSpaceDN w:val="0"/>
        <w:adjustRightInd w:val="0"/>
        <w:spacing w:line="1" w:lineRule="exact"/>
        <w:rPr>
          <w:rFonts w:ascii="Garamond" w:hAnsi="Garamond" w:cs="Garamond"/>
        </w:rPr>
      </w:pPr>
    </w:p>
    <w:p w:rsidR="00096487" w:rsidRDefault="0033074D" w:rsidP="0009648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7" w:lineRule="auto"/>
        <w:ind w:left="724" w:hanging="364"/>
        <w:jc w:val="both"/>
      </w:pPr>
      <w:r>
        <w:t xml:space="preserve">Prihodi TZ grada Vukovara u navedenom razdoblju iznosili su: </w:t>
      </w:r>
      <w:r w:rsidR="00AA345F">
        <w:t>69</w:t>
      </w:r>
      <w:r w:rsidR="00096487">
        <w:t>.</w:t>
      </w:r>
      <w:r w:rsidR="00AA345F">
        <w:t>474,60kn</w:t>
      </w:r>
      <w:r w:rsidR="00096487">
        <w:t xml:space="preserve"> </w:t>
      </w:r>
      <w:r>
        <w:t>po osnovi</w:t>
      </w:r>
      <w:r w:rsidR="00096487">
        <w:t xml:space="preserve"> boravišne pristojbe,</w:t>
      </w:r>
      <w:r w:rsidR="00096487" w:rsidRPr="00096487">
        <w:t xml:space="preserve"> 32</w:t>
      </w:r>
      <w:r w:rsidR="00AA345F">
        <w:t>8</w:t>
      </w:r>
      <w:r w:rsidR="00096487">
        <w:t>.</w:t>
      </w:r>
      <w:r w:rsidR="00AA345F">
        <w:t>202,31</w:t>
      </w:r>
      <w:r>
        <w:t>kn po osnovi turističke članarine,</w:t>
      </w:r>
      <w:r w:rsidR="00096487" w:rsidRPr="00096487">
        <w:t xml:space="preserve"> 386</w:t>
      </w:r>
      <w:r w:rsidR="00096487">
        <w:t>.</w:t>
      </w:r>
      <w:r w:rsidR="00096487" w:rsidRPr="00096487">
        <w:t>528,65</w:t>
      </w:r>
      <w:r w:rsidR="00096487">
        <w:t>kn</w:t>
      </w:r>
      <w:r>
        <w:t xml:space="preserve"> po osnovi uplata iz Gradskog proraču</w:t>
      </w:r>
      <w:r w:rsidR="00096487">
        <w:t>na. Prihodi od kamata iznose 436,54</w:t>
      </w:r>
      <w:r>
        <w:t xml:space="preserve"> kn, prihodi iz državnog proračuna 2</w:t>
      </w:r>
      <w:r w:rsidR="00096487">
        <w:t>5.</w:t>
      </w:r>
      <w:r w:rsidR="00096487" w:rsidRPr="00096487">
        <w:t>978,6</w:t>
      </w:r>
      <w:r w:rsidR="00AA345F">
        <w:t>8</w:t>
      </w:r>
      <w:r>
        <w:t xml:space="preserve">kn odnose se na refundaciju bolovanja, </w:t>
      </w:r>
      <w:r w:rsidR="00096487" w:rsidRPr="00096487">
        <w:rPr>
          <w:sz w:val="22"/>
          <w:szCs w:val="22"/>
        </w:rPr>
        <w:t xml:space="preserve">74.600kn  </w:t>
      </w:r>
      <w:r w:rsidRPr="00096487">
        <w:rPr>
          <w:sz w:val="22"/>
          <w:szCs w:val="22"/>
        </w:rPr>
        <w:t xml:space="preserve"> prihodi</w:t>
      </w:r>
      <w:r>
        <w:t xml:space="preserve"> </w:t>
      </w:r>
      <w:r w:rsidR="00096487">
        <w:t xml:space="preserve">HTZ-a za realizaciju kandidiranih i odobrenih projekata na natječaju HTZ-a za turističke zajednice na nerazvijenim područjima te </w:t>
      </w:r>
      <w:r w:rsidR="00AA345F">
        <w:t>70.000,00kn transfer Hypo banke.</w:t>
      </w:r>
      <w:r>
        <w:t xml:space="preserve"> </w:t>
      </w:r>
    </w:p>
    <w:p w:rsidR="0033074D" w:rsidRDefault="00AA345F" w:rsidP="00096487">
      <w:pPr>
        <w:suppressAutoHyphens w:val="0"/>
        <w:overflowPunct w:val="0"/>
        <w:autoSpaceDE w:val="0"/>
        <w:autoSpaceDN w:val="0"/>
        <w:adjustRightInd w:val="0"/>
        <w:spacing w:line="237" w:lineRule="auto"/>
        <w:ind w:left="724"/>
        <w:jc w:val="both"/>
      </w:pPr>
      <w:r>
        <w:t>Iznos od</w:t>
      </w:r>
      <w:r w:rsidR="00096487">
        <w:t xml:space="preserve"> </w:t>
      </w:r>
      <w:r>
        <w:t>219.763,97</w:t>
      </w:r>
      <w:r w:rsidR="0033074D">
        <w:t>kn</w:t>
      </w:r>
      <w:r w:rsidR="007931A4">
        <w:t xml:space="preserve"> </w:t>
      </w:r>
      <w:r w:rsidR="0033074D">
        <w:t>odnosi</w:t>
      </w:r>
      <w:r>
        <w:t xml:space="preserve"> se </w:t>
      </w:r>
      <w:r w:rsidR="0033074D">
        <w:t xml:space="preserve"> na </w:t>
      </w:r>
      <w:r w:rsidR="007931A4">
        <w:t xml:space="preserve">sredstva iz </w:t>
      </w:r>
      <w:r w:rsidR="0033074D">
        <w:t xml:space="preserve">IPA </w:t>
      </w:r>
      <w:r>
        <w:t>projekta prekogranične suradnje koji su se za vrijeme trajanja projekta vodili kao odgođeno priznavanje prihoda, a sad nakon završetka projekta, taj iznos se knjiži na prihode, jer nakon povrata iznosa za nepriznate troškove, ovaj iznos ostaje TZGV.</w:t>
      </w:r>
      <w:r w:rsidR="0033074D">
        <w:t xml:space="preserve"> </w:t>
      </w:r>
    </w:p>
    <w:p w:rsidR="00DD0DDE" w:rsidRPr="00DD0DDE" w:rsidRDefault="0033074D" w:rsidP="007931A4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7" w:lineRule="auto"/>
        <w:ind w:left="724" w:hanging="364"/>
        <w:jc w:val="both"/>
        <w:rPr>
          <w:b/>
          <w:bCs/>
          <w:u w:val="single"/>
        </w:rPr>
      </w:pPr>
      <w:r>
        <w:t xml:space="preserve"> Rashodi prema vrstama iskazani su u temeljnim financijskim izvješćima: prihodi </w:t>
      </w:r>
      <w:r w:rsidR="00FD2990">
        <w:t xml:space="preserve">(bez IPA iznosa) </w:t>
      </w:r>
      <w:r>
        <w:t>iznose</w:t>
      </w:r>
      <w:r w:rsidR="00FD2990">
        <w:t xml:space="preserve"> 957.731,01kn, a s pridodanim iznosom oni su 1.177.494,98kn</w:t>
      </w:r>
      <w:r>
        <w:t>; rashodi iznose</w:t>
      </w:r>
      <w:r w:rsidR="00FD2990">
        <w:t xml:space="preserve"> 1.063.442,56</w:t>
      </w:r>
      <w:r w:rsidR="007931A4">
        <w:t>kuna</w:t>
      </w:r>
      <w:r>
        <w:t xml:space="preserve">. </w:t>
      </w:r>
    </w:p>
    <w:p w:rsidR="0033074D" w:rsidRDefault="0033074D" w:rsidP="0033074D">
      <w:pPr>
        <w:autoSpaceDE w:val="0"/>
        <w:autoSpaceDN w:val="0"/>
        <w:adjustRightInd w:val="0"/>
        <w:spacing w:line="46" w:lineRule="exact"/>
        <w:rPr>
          <w:b/>
          <w:bCs/>
          <w:u w:val="single"/>
        </w:rPr>
      </w:pPr>
    </w:p>
    <w:p w:rsidR="0033074D" w:rsidRDefault="0033074D" w:rsidP="0033074D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16" w:lineRule="auto"/>
        <w:ind w:left="724" w:hanging="364"/>
        <w:jc w:val="both"/>
      </w:pPr>
      <w:r>
        <w:t>Temeljem obavljene provjere, podaci u financijskim izvješćima odgovaraju podacima iskazanim u poslovnim knjigama turističke zajednice i pokazuju ispravno stanje.</w:t>
      </w:r>
    </w:p>
    <w:p w:rsidR="0033074D" w:rsidRDefault="0033074D" w:rsidP="0033074D">
      <w:pPr>
        <w:autoSpaceDE w:val="0"/>
        <w:autoSpaceDN w:val="0"/>
        <w:adjustRightInd w:val="0"/>
        <w:spacing w:line="1" w:lineRule="exact"/>
      </w:pPr>
    </w:p>
    <w:p w:rsidR="0033074D" w:rsidRDefault="0033074D" w:rsidP="0033074D">
      <w:pPr>
        <w:autoSpaceDE w:val="0"/>
        <w:autoSpaceDN w:val="0"/>
        <w:adjustRightInd w:val="0"/>
        <w:spacing w:line="1" w:lineRule="exact"/>
      </w:pPr>
    </w:p>
    <w:p w:rsidR="0033074D" w:rsidRDefault="0033074D" w:rsidP="0033074D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7" w:lineRule="auto"/>
        <w:ind w:left="724" w:hanging="364"/>
        <w:jc w:val="both"/>
      </w:pPr>
      <w:r>
        <w:t>Sredstvima turističke zajednice raspolaže se u skladu s programom rada, odlukama tijela te u skladu s utvrđenim ovlastima.</w:t>
      </w:r>
    </w:p>
    <w:p w:rsidR="0033074D" w:rsidRDefault="0033074D" w:rsidP="0033074D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7" w:lineRule="auto"/>
        <w:ind w:left="724" w:hanging="364"/>
        <w:jc w:val="both"/>
      </w:pPr>
      <w:r>
        <w:t>TZ grada Vukovara posluje preko dva žiro računa,  otvorenih u Hypo-Alpe Adria Bank broj: 2500009-1102033079 (osnovni račun) i broj: 2500009-1501136703, (podračun za IPA projekt).</w:t>
      </w:r>
    </w:p>
    <w:p w:rsidR="0033074D" w:rsidRDefault="0033074D" w:rsidP="0033074D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7" w:lineRule="auto"/>
        <w:ind w:left="724" w:hanging="364"/>
        <w:jc w:val="both"/>
      </w:pPr>
      <w:r>
        <w:t xml:space="preserve">Jednom poslovnom Visa karticom raspolaže direktorica Turističkog ureda. Poslovna </w:t>
      </w:r>
      <w:r>
        <w:lastRenderedPageBreak/>
        <w:t>kartica koristi se za potrebe plaćanja na službenom putu te u slučajevima kada nije moguće ili je otežano virmansko plaćanje za potrebe realizacije programa rada.</w:t>
      </w:r>
    </w:p>
    <w:p w:rsidR="007931A4" w:rsidRDefault="007931A4" w:rsidP="0033074D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7" w:lineRule="auto"/>
        <w:ind w:left="724" w:hanging="364"/>
        <w:jc w:val="both"/>
      </w:pPr>
      <w:r>
        <w:t xml:space="preserve">U periodu od </w:t>
      </w:r>
      <w:r w:rsidR="00DF5295">
        <w:t>01. listopada 2013.g. do 27. siječnja 2014.g. obavljena je revizija poslovanja Turističke zajedn</w:t>
      </w:r>
      <w:r w:rsidR="00DD0DDE">
        <w:t>ice grada Vukovara za 2012.g. N</w:t>
      </w:r>
      <w:r w:rsidR="00DF5295">
        <w:t>alaz revizije je bezuvjetan, uz preporuku da se osim plana rada po aktivnostima (sukladno Zakonu o turističkim zajednicama), radi i plan po kontima (sukladno Zakonu o računovodstvu neprofitnih organizacija), radi lakše usporedbe.</w:t>
      </w:r>
    </w:p>
    <w:p w:rsidR="0033074D" w:rsidRDefault="0033074D" w:rsidP="0033074D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7" w:lineRule="auto"/>
        <w:ind w:left="724" w:hanging="364"/>
        <w:jc w:val="both"/>
        <w:rPr>
          <w:b/>
          <w:bCs/>
          <w:u w:val="single"/>
        </w:rPr>
      </w:pPr>
      <w:r>
        <w:t>Slijedom obavljenog nadzora, Nadzorni odbor utvrđuje da direktorica Turističkog ureda vodi uredno poslovanje Turističkog ureda. Tijela TZ grada Vukovara obavljaju svoje zakonom propisane zadaće i prate tijek realizacije programa rada i financijskog plana TZ grada Vukovara te rad Turističkog ureda i direktorice u 201</w:t>
      </w:r>
      <w:r w:rsidR="00DF5295">
        <w:t>3</w:t>
      </w:r>
      <w:r>
        <w:t xml:space="preserve">. godini. </w:t>
      </w:r>
    </w:p>
    <w:p w:rsidR="0033074D" w:rsidRDefault="0033074D" w:rsidP="0033074D">
      <w:pPr>
        <w:suppressAutoHyphens w:val="0"/>
        <w:overflowPunct w:val="0"/>
        <w:autoSpaceDE w:val="0"/>
        <w:autoSpaceDN w:val="0"/>
        <w:adjustRightInd w:val="0"/>
        <w:spacing w:line="237" w:lineRule="auto"/>
        <w:jc w:val="both"/>
      </w:pPr>
    </w:p>
    <w:p w:rsidR="00712487" w:rsidRDefault="00712487" w:rsidP="0033074D">
      <w:pPr>
        <w:suppressAutoHyphens w:val="0"/>
        <w:overflowPunct w:val="0"/>
        <w:autoSpaceDE w:val="0"/>
        <w:autoSpaceDN w:val="0"/>
        <w:adjustRightInd w:val="0"/>
        <w:spacing w:line="237" w:lineRule="auto"/>
        <w:jc w:val="both"/>
      </w:pPr>
    </w:p>
    <w:p w:rsidR="00712487" w:rsidRDefault="00712487" w:rsidP="0033074D">
      <w:pPr>
        <w:suppressAutoHyphens w:val="0"/>
        <w:overflowPunct w:val="0"/>
        <w:autoSpaceDE w:val="0"/>
        <w:autoSpaceDN w:val="0"/>
        <w:adjustRightInd w:val="0"/>
        <w:spacing w:line="237" w:lineRule="auto"/>
        <w:jc w:val="both"/>
      </w:pPr>
    </w:p>
    <w:p w:rsidR="00712487" w:rsidRPr="00712487" w:rsidRDefault="00712487" w:rsidP="00712487">
      <w:pPr>
        <w:pStyle w:val="ListParagraph"/>
        <w:numPr>
          <w:ilvl w:val="0"/>
          <w:numId w:val="3"/>
        </w:numPr>
        <w:jc w:val="center"/>
        <w:rPr>
          <w:b/>
        </w:rPr>
      </w:pPr>
      <w:r w:rsidRPr="00712487">
        <w:rPr>
          <w:b/>
        </w:rPr>
        <w:t>I</w:t>
      </w:r>
      <w:r>
        <w:rPr>
          <w:b/>
        </w:rPr>
        <w:t>zvršenje i provedba</w:t>
      </w:r>
      <w:r w:rsidRPr="00712487">
        <w:rPr>
          <w:b/>
        </w:rPr>
        <w:t xml:space="preserve"> </w:t>
      </w:r>
      <w:r>
        <w:rPr>
          <w:b/>
        </w:rPr>
        <w:t>Godišnjeg programa rada  i financijskog plana</w:t>
      </w:r>
      <w:r w:rsidRPr="00712487">
        <w:rPr>
          <w:b/>
        </w:rPr>
        <w:t xml:space="preserve"> za 2013.g.</w:t>
      </w:r>
    </w:p>
    <w:p w:rsidR="00712487" w:rsidRDefault="00712487" w:rsidP="00712487">
      <w:pPr>
        <w:jc w:val="center"/>
        <w:rPr>
          <w:b/>
        </w:rPr>
      </w:pPr>
    </w:p>
    <w:p w:rsidR="00712487" w:rsidRDefault="00712487" w:rsidP="00712487">
      <w:pPr>
        <w:ind w:firstLine="708"/>
        <w:jc w:val="both"/>
      </w:pPr>
      <w:r>
        <w:t>Sukladno financijskim sredstvima iz proračuna i u dogovoru s Turističkim vijećem, Turistička zajednica grada Vukovara u protekloj godini realizirala je većinu planiranih manifestacije, a  one za koje na natječaju nisu dobili stredstva prolongirali su za narednu godinu.</w:t>
      </w:r>
    </w:p>
    <w:p w:rsidR="00712487" w:rsidRDefault="00783498" w:rsidP="00712487">
      <w:r>
        <w:t>Što se tiče ostalih ka</w:t>
      </w:r>
      <w:r w:rsidR="00DD0DDE">
        <w:t>ndidiranih projekata na raspisa</w:t>
      </w:r>
      <w:r>
        <w:t>ne natječaje, TZ je kandidirala ukupno četiri</w:t>
      </w:r>
      <w:r w:rsidR="00DD0DDE">
        <w:t xml:space="preserve"> projekta</w:t>
      </w:r>
      <w:r>
        <w:t>, ali za dva su im sredstva odobrena, u ukupnom iznosu od 74.600,00kn i namjenski su utrošena u zakonskom roku.</w:t>
      </w:r>
      <w:r w:rsidR="00DD0DDE">
        <w:t xml:space="preserve"> Za aplikaciju Virtualna šetnja Vukovarom odobreno im je 24.600,00kn, a za projekt izrada i postavljanje smeđe signalizacije sukladno projektu, 50.000,00kn. </w:t>
      </w:r>
    </w:p>
    <w:p w:rsidR="00712487" w:rsidRDefault="00712487" w:rsidP="0033074D">
      <w:pPr>
        <w:suppressAutoHyphens w:val="0"/>
        <w:overflowPunct w:val="0"/>
        <w:autoSpaceDE w:val="0"/>
        <w:autoSpaceDN w:val="0"/>
        <w:adjustRightInd w:val="0"/>
        <w:spacing w:line="237" w:lineRule="auto"/>
        <w:jc w:val="both"/>
      </w:pPr>
    </w:p>
    <w:p w:rsidR="00712487" w:rsidRDefault="00DD0DDE" w:rsidP="0033074D">
      <w:pPr>
        <w:suppressAutoHyphens w:val="0"/>
        <w:overflowPunct w:val="0"/>
        <w:autoSpaceDE w:val="0"/>
        <w:autoSpaceDN w:val="0"/>
        <w:adjustRightInd w:val="0"/>
        <w:spacing w:line="237" w:lineRule="auto"/>
        <w:jc w:val="both"/>
      </w:pPr>
      <w:r>
        <w:t>Financijski plana TZ za razdoblje 01.01.-31.12.2013. realiziran je u sljedećim iznosima:</w:t>
      </w:r>
    </w:p>
    <w:p w:rsidR="0097614B" w:rsidRDefault="0097614B" w:rsidP="0097614B">
      <w:pPr>
        <w:jc w:val="both"/>
      </w:pPr>
    </w:p>
    <w:tbl>
      <w:tblPr>
        <w:tblW w:w="9641" w:type="dxa"/>
        <w:tblCellSpacing w:w="20" w:type="dxa"/>
        <w:tblInd w:w="-54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tblLayout w:type="fixed"/>
        <w:tblLook w:val="0000"/>
      </w:tblPr>
      <w:tblGrid>
        <w:gridCol w:w="852"/>
        <w:gridCol w:w="2558"/>
        <w:gridCol w:w="1885"/>
        <w:gridCol w:w="2078"/>
        <w:gridCol w:w="1134"/>
        <w:gridCol w:w="1134"/>
      </w:tblGrid>
      <w:tr w:rsidR="00113FE3" w:rsidRPr="00E120C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DD0DDE">
            <w:pPr>
              <w:rPr>
                <w:b/>
                <w:bCs/>
                <w:lang w:eastAsia="en-US"/>
              </w:rPr>
            </w:pPr>
            <w:r w:rsidRPr="00E120CC">
              <w:rPr>
                <w:b/>
                <w:bCs/>
                <w:sz w:val="22"/>
                <w:szCs w:val="22"/>
              </w:rPr>
              <w:t>red.     broj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  <w:bCs/>
                <w:lang w:eastAsia="en-US"/>
              </w:rPr>
            </w:pPr>
            <w:r w:rsidRPr="00E120CC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E120CC">
              <w:rPr>
                <w:b/>
                <w:bCs/>
                <w:sz w:val="22"/>
                <w:szCs w:val="22"/>
              </w:rPr>
              <w:t>lan</w:t>
            </w:r>
          </w:p>
          <w:p w:rsidR="00113FE3" w:rsidRPr="00E120CC" w:rsidRDefault="00113FE3" w:rsidP="007A6594">
            <w:pPr>
              <w:jc w:val="center"/>
              <w:rPr>
                <w:b/>
                <w:bCs/>
              </w:rPr>
            </w:pPr>
            <w:r w:rsidRPr="00E120CC">
              <w:rPr>
                <w:b/>
                <w:bCs/>
                <w:sz w:val="22"/>
                <w:szCs w:val="22"/>
              </w:rPr>
              <w:t>(rebalans)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center"/>
              <w:rPr>
                <w:b/>
                <w:bCs/>
              </w:rPr>
            </w:pPr>
            <w:r w:rsidRPr="00E120CC">
              <w:rPr>
                <w:b/>
                <w:bCs/>
                <w:sz w:val="22"/>
                <w:szCs w:val="22"/>
              </w:rPr>
              <w:t>Ostvareno u 2013.g.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center"/>
              <w:rPr>
                <w:b/>
                <w:bCs/>
              </w:rPr>
            </w:pPr>
            <w:r w:rsidRPr="00E120CC">
              <w:rPr>
                <w:b/>
                <w:bCs/>
                <w:sz w:val="22"/>
                <w:szCs w:val="22"/>
              </w:rPr>
              <w:t>Index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center"/>
              <w:rPr>
                <w:b/>
                <w:bCs/>
              </w:rPr>
            </w:pPr>
            <w:r w:rsidRPr="00E120CC">
              <w:rPr>
                <w:b/>
                <w:bCs/>
                <w:sz w:val="22"/>
                <w:szCs w:val="22"/>
              </w:rPr>
              <w:t>%</w:t>
            </w:r>
          </w:p>
          <w:p w:rsidR="00113FE3" w:rsidRPr="00E120CC" w:rsidRDefault="00113FE3" w:rsidP="007A6594">
            <w:pPr>
              <w:jc w:val="center"/>
              <w:rPr>
                <w:b/>
                <w:bCs/>
              </w:rPr>
            </w:pPr>
            <w:r w:rsidRPr="00E120CC">
              <w:rPr>
                <w:b/>
                <w:bCs/>
                <w:sz w:val="22"/>
                <w:szCs w:val="22"/>
              </w:rPr>
              <w:t>učešća</w:t>
            </w:r>
          </w:p>
        </w:tc>
      </w:tr>
      <w:tr w:rsidR="00113FE3" w:rsidRPr="00E120C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  <w:bCs/>
                <w:lang w:eastAsia="en-US"/>
              </w:rPr>
            </w:pPr>
            <w:r w:rsidRPr="00E120CC">
              <w:rPr>
                <w:sz w:val="22"/>
                <w:szCs w:val="22"/>
              </w:rPr>
              <w:t> 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pStyle w:val="Heading1"/>
              <w:rPr>
                <w:sz w:val="22"/>
                <w:szCs w:val="22"/>
              </w:rPr>
            </w:pPr>
            <w:r w:rsidRPr="00E120CC">
              <w:rPr>
                <w:sz w:val="22"/>
                <w:szCs w:val="22"/>
              </w:rPr>
              <w:t>PRIHODI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  <w:rPr>
                <w:b/>
                <w:bCs/>
                <w:lang w:eastAsia="en-US"/>
              </w:rPr>
            </w:pPr>
            <w:r w:rsidRPr="00E120CC">
              <w:rPr>
                <w:b/>
                <w:sz w:val="22"/>
                <w:szCs w:val="22"/>
              </w:rPr>
              <w:t>880.302,96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E17F0C">
            <w:pPr>
              <w:jc w:val="right"/>
              <w:rPr>
                <w:b/>
                <w:bCs/>
                <w:lang w:eastAsia="en-US"/>
              </w:rPr>
            </w:pPr>
            <w:r w:rsidRPr="00E120CC">
              <w:rPr>
                <w:b/>
                <w:bCs/>
                <w:sz w:val="22"/>
                <w:szCs w:val="22"/>
                <w:lang w:eastAsia="en-US"/>
              </w:rPr>
              <w:t>957.731,01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center"/>
              <w:rPr>
                <w:b/>
                <w:bCs/>
                <w:lang w:eastAsia="en-US"/>
              </w:rPr>
            </w:pPr>
            <w:r w:rsidRPr="00E120CC">
              <w:rPr>
                <w:b/>
                <w:bCs/>
                <w:sz w:val="22"/>
                <w:szCs w:val="22"/>
                <w:lang w:eastAsia="en-US"/>
              </w:rPr>
              <w:t>108,8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center"/>
              <w:rPr>
                <w:b/>
                <w:bCs/>
                <w:lang w:eastAsia="en-US"/>
              </w:rPr>
            </w:pPr>
            <w:r w:rsidRPr="00E120CC">
              <w:rPr>
                <w:b/>
                <w:bCs/>
                <w:sz w:val="22"/>
                <w:szCs w:val="22"/>
                <w:lang w:eastAsia="en-US"/>
              </w:rPr>
              <w:t>100.00</w:t>
            </w:r>
          </w:p>
        </w:tc>
      </w:tr>
      <w:tr w:rsidR="00113FE3" w:rsidRPr="00E120C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</w:rPr>
              <w:t>od boravišne pristojbe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  <w:lang w:eastAsia="en-US"/>
              </w:rPr>
              <w:t>67.000,00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  <w:lang w:eastAsia="en-US"/>
              </w:rPr>
              <w:t>69.474,60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7,25</w:t>
            </w:r>
          </w:p>
        </w:tc>
      </w:tr>
      <w:tr w:rsidR="00113FE3" w:rsidRPr="00E120C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</w:rPr>
              <w:t>od turističke članarine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  <w:lang w:eastAsia="en-US"/>
              </w:rPr>
              <w:t>280.000,00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  <w:lang w:eastAsia="en-US"/>
              </w:rPr>
              <w:t>328.202,31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34,27</w:t>
            </w:r>
          </w:p>
        </w:tc>
      </w:tr>
      <w:tr w:rsidR="00113FE3" w:rsidRPr="00E120C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</w:rPr>
              <w:t>iz gradskog proračuna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  <w:lang w:eastAsia="en-US"/>
              </w:rPr>
              <w:t>363.500,00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  <w:lang w:eastAsia="en-US"/>
              </w:rPr>
              <w:t>386.528,65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40,36</w:t>
            </w:r>
          </w:p>
        </w:tc>
      </w:tr>
      <w:tr w:rsidR="00113FE3" w:rsidRPr="00E120CC" w:rsidTr="00113FE3">
        <w:trPr>
          <w:trHeight w:val="81"/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</w:rPr>
            </w:pPr>
            <w:r w:rsidRPr="00E120C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tabs>
                <w:tab w:val="left" w:pos="2715"/>
              </w:tabs>
              <w:rPr>
                <w:b/>
              </w:rPr>
            </w:pPr>
            <w:r w:rsidRPr="00E120CC">
              <w:rPr>
                <w:b/>
                <w:sz w:val="22"/>
                <w:szCs w:val="22"/>
              </w:rPr>
              <w:t>Prihodi od drugih aktivnosti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</w:p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  <w:lang w:eastAsia="en-US"/>
              </w:rPr>
              <w:t>146.802,96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</w:p>
          <w:p w:rsidR="00113FE3" w:rsidRPr="00E120CC" w:rsidRDefault="00113FE3" w:rsidP="007A6594">
            <w:pPr>
              <w:jc w:val="right"/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  <w:lang w:eastAsia="en-US"/>
              </w:rPr>
              <w:t>147.546,77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center"/>
              <w:rPr>
                <w:b/>
                <w:lang w:eastAsia="en-US"/>
              </w:rPr>
            </w:pPr>
          </w:p>
          <w:p w:rsidR="00113FE3" w:rsidRPr="00E120CC" w:rsidRDefault="00113FE3" w:rsidP="007A6594">
            <w:pPr>
              <w:jc w:val="center"/>
              <w:rPr>
                <w:b/>
                <w:lang w:eastAsia="en-US"/>
              </w:rPr>
            </w:pPr>
            <w:r w:rsidRPr="00E120CC">
              <w:rPr>
                <w:b/>
                <w:sz w:val="22"/>
                <w:szCs w:val="22"/>
                <w:lang w:eastAsia="en-US"/>
              </w:rPr>
              <w:t>100,5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15,41</w:t>
            </w:r>
          </w:p>
        </w:tc>
      </w:tr>
      <w:tr w:rsidR="00113FE3" w:rsidRPr="00E120CC" w:rsidTr="00113FE3">
        <w:trPr>
          <w:trHeight w:val="81"/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/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tabs>
                <w:tab w:val="left" w:pos="2715"/>
              </w:tabs>
            </w:pPr>
            <w:r w:rsidRPr="00E120CC">
              <w:rPr>
                <w:sz w:val="22"/>
                <w:szCs w:val="22"/>
              </w:rPr>
              <w:t>Transfer od TZ VSŽ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  <w:rPr>
                <w:lang w:eastAsia="en-US"/>
              </w:rPr>
            </w:pPr>
            <w:r w:rsidRPr="00E120CC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right"/>
              <w:rPr>
                <w:lang w:eastAsia="en-US"/>
              </w:rPr>
            </w:pPr>
            <w:r w:rsidRPr="00E120C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center"/>
              <w:rPr>
                <w:lang w:eastAsia="en-US"/>
              </w:rPr>
            </w:pPr>
            <w:r w:rsidRPr="00E120C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color w:val="000000"/>
              </w:rPr>
            </w:pPr>
            <w:r w:rsidRPr="00E120CC"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  <w:tr w:rsidR="00113FE3" w:rsidRPr="00E120CC" w:rsidTr="00113FE3">
        <w:trPr>
          <w:trHeight w:val="421"/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tabs>
                <w:tab w:val="left" w:pos="2715"/>
              </w:tabs>
              <w:rPr>
                <w:lang w:eastAsia="en-US"/>
              </w:rPr>
            </w:pPr>
            <w:r w:rsidRPr="00E120CC">
              <w:rPr>
                <w:sz w:val="22"/>
                <w:szCs w:val="22"/>
              </w:rPr>
              <w:t xml:space="preserve">od transfera HTZ – a          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  <w:rPr>
                <w:lang w:eastAsia="en-US"/>
              </w:rPr>
            </w:pPr>
            <w:r w:rsidRPr="00E120CC">
              <w:rPr>
                <w:sz w:val="22"/>
                <w:szCs w:val="22"/>
                <w:lang w:eastAsia="en-US"/>
              </w:rPr>
              <w:t>74.500,00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right"/>
              <w:rPr>
                <w:lang w:eastAsia="en-US"/>
              </w:rPr>
            </w:pPr>
            <w:r w:rsidRPr="00E120CC">
              <w:rPr>
                <w:sz w:val="22"/>
                <w:szCs w:val="22"/>
                <w:lang w:eastAsia="en-US"/>
              </w:rPr>
              <w:t>74.600,00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color w:val="000000"/>
              </w:rPr>
            </w:pPr>
            <w:r w:rsidRPr="00E120CC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7,79</w:t>
            </w:r>
          </w:p>
        </w:tc>
      </w:tr>
      <w:tr w:rsidR="00113FE3" w:rsidRPr="00E120C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lang w:eastAsia="en-US"/>
              </w:rPr>
            </w:pPr>
            <w:r w:rsidRPr="00E120CC">
              <w:rPr>
                <w:sz w:val="22"/>
                <w:szCs w:val="22"/>
              </w:rPr>
              <w:t>prihodi od kamata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  <w:rPr>
                <w:lang w:eastAsia="en-US"/>
              </w:rPr>
            </w:pPr>
            <w:r w:rsidRPr="00E120CC">
              <w:rPr>
                <w:sz w:val="22"/>
                <w:szCs w:val="22"/>
                <w:lang w:eastAsia="en-US"/>
              </w:rPr>
              <w:t>302,96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right"/>
              <w:rPr>
                <w:lang w:eastAsia="en-US"/>
              </w:rPr>
            </w:pPr>
            <w:r w:rsidRPr="00E120CC">
              <w:rPr>
                <w:sz w:val="22"/>
                <w:szCs w:val="22"/>
                <w:lang w:eastAsia="en-US"/>
              </w:rPr>
              <w:t>436,54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color w:val="000000"/>
              </w:rPr>
            </w:pPr>
            <w:r w:rsidRPr="00E120CC">
              <w:rPr>
                <w:color w:val="000000"/>
                <w:sz w:val="22"/>
                <w:szCs w:val="22"/>
              </w:rPr>
              <w:t>144,1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0,05</w:t>
            </w:r>
          </w:p>
        </w:tc>
      </w:tr>
      <w:tr w:rsidR="00113FE3" w:rsidRPr="00E120C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r w:rsidRPr="00E120CC">
              <w:rPr>
                <w:sz w:val="22"/>
                <w:szCs w:val="22"/>
              </w:rPr>
              <w:t>Ministarstvo turizma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</w:pPr>
            <w:r w:rsidRPr="00E120CC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right"/>
            </w:pPr>
            <w:r w:rsidRPr="00E120CC">
              <w:rPr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center"/>
            </w:pPr>
            <w:r w:rsidRPr="00E120CC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color w:val="000000"/>
              </w:rPr>
            </w:pPr>
            <w:r w:rsidRPr="00E120CC"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  <w:tr w:rsidR="00113FE3" w:rsidRPr="00E120C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pPr>
              <w:rPr>
                <w:b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E120CC" w:rsidRDefault="00113FE3" w:rsidP="007A6594">
            <w:r w:rsidRPr="00E120CC">
              <w:rPr>
                <w:sz w:val="22"/>
                <w:szCs w:val="22"/>
              </w:rPr>
              <w:t>Ostalo (prihodi od donacija i otpisanih obaveza)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E120CC" w:rsidRDefault="00113FE3" w:rsidP="007A6594">
            <w:pPr>
              <w:jc w:val="right"/>
            </w:pPr>
          </w:p>
          <w:p w:rsidR="00113FE3" w:rsidRPr="00E120CC" w:rsidRDefault="00113FE3" w:rsidP="007A6594">
            <w:pPr>
              <w:jc w:val="right"/>
            </w:pPr>
            <w:r w:rsidRPr="00E120CC">
              <w:rPr>
                <w:sz w:val="22"/>
                <w:szCs w:val="22"/>
              </w:rPr>
              <w:t>70.000,00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right"/>
            </w:pPr>
          </w:p>
          <w:p w:rsidR="00113FE3" w:rsidRPr="00E120CC" w:rsidRDefault="00113FE3" w:rsidP="007A6594">
            <w:pPr>
              <w:jc w:val="right"/>
            </w:pPr>
            <w:r w:rsidRPr="00E120CC">
              <w:rPr>
                <w:sz w:val="22"/>
                <w:szCs w:val="22"/>
              </w:rPr>
              <w:t>70.000,00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E120CC" w:rsidRDefault="00113FE3" w:rsidP="007A6594">
            <w:pPr>
              <w:jc w:val="center"/>
            </w:pPr>
          </w:p>
          <w:p w:rsidR="00113FE3" w:rsidRPr="00E120CC" w:rsidRDefault="00113FE3" w:rsidP="007A6594">
            <w:pPr>
              <w:jc w:val="center"/>
            </w:pPr>
            <w:r w:rsidRPr="00E120CC">
              <w:rPr>
                <w:sz w:val="22"/>
                <w:szCs w:val="22"/>
              </w:rPr>
              <w:t>100,0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E120C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E120CC">
              <w:rPr>
                <w:b/>
                <w:bCs/>
                <w:color w:val="000000"/>
                <w:sz w:val="22"/>
                <w:szCs w:val="22"/>
              </w:rPr>
              <w:t>7,31</w:t>
            </w:r>
          </w:p>
        </w:tc>
      </w:tr>
      <w:tr w:rsidR="00113FE3" w:rsidRPr="00B52289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B52289" w:rsidRDefault="00113FE3" w:rsidP="007A6594">
            <w:pPr>
              <w:rPr>
                <w:b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B52289" w:rsidRDefault="00113FE3" w:rsidP="007A6594">
            <w:r w:rsidRPr="00B52289">
              <w:t>Prihodi od otpisanih obveza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Default="00113FE3" w:rsidP="007A6594">
            <w:pPr>
              <w:jc w:val="right"/>
            </w:pPr>
          </w:p>
          <w:p w:rsidR="00113FE3" w:rsidRPr="00B52289" w:rsidRDefault="00113FE3" w:rsidP="007A6594">
            <w:pPr>
              <w:jc w:val="right"/>
            </w:pPr>
            <w:r>
              <w:t>-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B52289" w:rsidRDefault="00113FE3" w:rsidP="007A6594">
            <w:pPr>
              <w:jc w:val="right"/>
            </w:pPr>
            <w:r w:rsidRPr="00B52289">
              <w:t>2.510,23</w:t>
            </w:r>
          </w:p>
          <w:p w:rsidR="00113FE3" w:rsidRPr="00B52289" w:rsidRDefault="00113FE3" w:rsidP="007A6594">
            <w:pPr>
              <w:jc w:val="right"/>
            </w:pP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B52289" w:rsidRDefault="00113FE3" w:rsidP="007A6594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0707DC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0707DC">
              <w:rPr>
                <w:b/>
                <w:bCs/>
                <w:color w:val="000000"/>
              </w:rPr>
              <w:t> </w:t>
            </w:r>
          </w:p>
        </w:tc>
      </w:tr>
      <w:tr w:rsidR="00113FE3" w:rsidRPr="008D1EC3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7A6594">
            <w:pPr>
              <w:rPr>
                <w:b/>
                <w:lang w:eastAsia="en-US"/>
              </w:rPr>
            </w:pPr>
            <w:r w:rsidRPr="008D1EC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7A6594">
            <w:pPr>
              <w:rPr>
                <w:b/>
                <w:lang w:eastAsia="en-US"/>
              </w:rPr>
            </w:pPr>
            <w:r w:rsidRPr="008D1EC3">
              <w:rPr>
                <w:b/>
                <w:sz w:val="22"/>
                <w:szCs w:val="22"/>
              </w:rPr>
              <w:t>Ostali nespomenuti prihodi (HZZO,)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8D1EC3" w:rsidRDefault="00113FE3" w:rsidP="007A6594">
            <w:pPr>
              <w:jc w:val="right"/>
              <w:rPr>
                <w:b/>
                <w:lang w:eastAsia="en-US"/>
              </w:rPr>
            </w:pPr>
          </w:p>
          <w:p w:rsidR="00113FE3" w:rsidRPr="008D1EC3" w:rsidRDefault="00113FE3" w:rsidP="007A6594">
            <w:pPr>
              <w:jc w:val="right"/>
              <w:rPr>
                <w:b/>
                <w:lang w:eastAsia="en-US"/>
              </w:rPr>
            </w:pPr>
            <w:r w:rsidRPr="008D1EC3">
              <w:rPr>
                <w:b/>
                <w:sz w:val="22"/>
                <w:szCs w:val="22"/>
                <w:lang w:eastAsia="en-US"/>
              </w:rPr>
              <w:t>23.000,00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7A6594">
            <w:pPr>
              <w:jc w:val="right"/>
              <w:rPr>
                <w:b/>
                <w:lang w:eastAsia="en-US"/>
              </w:rPr>
            </w:pPr>
          </w:p>
          <w:p w:rsidR="00113FE3" w:rsidRPr="008D1EC3" w:rsidRDefault="00113FE3" w:rsidP="007A6594">
            <w:pPr>
              <w:jc w:val="right"/>
              <w:rPr>
                <w:b/>
                <w:lang w:eastAsia="en-US"/>
              </w:rPr>
            </w:pPr>
            <w:r w:rsidRPr="008D1EC3">
              <w:rPr>
                <w:b/>
                <w:sz w:val="22"/>
                <w:szCs w:val="22"/>
              </w:rPr>
              <w:t>25.978,68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7A6594">
            <w:pPr>
              <w:jc w:val="center"/>
              <w:rPr>
                <w:b/>
                <w:lang w:eastAsia="en-US"/>
              </w:rPr>
            </w:pPr>
          </w:p>
          <w:p w:rsidR="00113FE3" w:rsidRPr="008D1EC3" w:rsidRDefault="00113FE3" w:rsidP="007A6594">
            <w:pPr>
              <w:jc w:val="center"/>
              <w:rPr>
                <w:b/>
                <w:lang w:eastAsia="en-US"/>
              </w:rPr>
            </w:pPr>
            <w:r w:rsidRPr="008D1EC3">
              <w:rPr>
                <w:b/>
                <w:sz w:val="22"/>
                <w:szCs w:val="22"/>
                <w:lang w:eastAsia="en-US"/>
              </w:rPr>
              <w:t>112,9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8D1EC3" w:rsidRDefault="00113FE3" w:rsidP="007A6594">
            <w:pPr>
              <w:jc w:val="right"/>
              <w:rPr>
                <w:color w:val="000000"/>
              </w:rPr>
            </w:pPr>
            <w:r w:rsidRPr="008D1EC3"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  <w:tr w:rsidR="00113FE3" w:rsidRPr="008D1EC3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7A6594"/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7A6594">
            <w:r w:rsidRPr="008D1EC3">
              <w:rPr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8D1EC3" w:rsidRDefault="00113FE3" w:rsidP="007A6594">
            <w:pPr>
              <w:jc w:val="right"/>
              <w:rPr>
                <w:b/>
              </w:rPr>
            </w:pPr>
            <w:r w:rsidRPr="008D1EC3">
              <w:rPr>
                <w:b/>
                <w:sz w:val="22"/>
                <w:szCs w:val="22"/>
              </w:rPr>
              <w:t>880.302,96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7A6594">
            <w:pPr>
              <w:jc w:val="right"/>
            </w:pPr>
            <w:r w:rsidRPr="008D1EC3">
              <w:rPr>
                <w:b/>
                <w:bCs/>
                <w:sz w:val="22"/>
                <w:szCs w:val="22"/>
                <w:lang w:eastAsia="en-US"/>
              </w:rPr>
              <w:t>957.731,01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7A6594">
            <w:pPr>
              <w:jc w:val="center"/>
            </w:pPr>
            <w:r w:rsidRPr="008D1EC3">
              <w:rPr>
                <w:b/>
                <w:bCs/>
                <w:sz w:val="22"/>
                <w:szCs w:val="22"/>
                <w:lang w:eastAsia="en-US"/>
              </w:rPr>
              <w:t>108,8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8D1EC3" w:rsidRDefault="00113FE3" w:rsidP="007A6594">
            <w:pPr>
              <w:jc w:val="right"/>
              <w:rPr>
                <w:b/>
                <w:bCs/>
                <w:color w:val="000000"/>
              </w:rPr>
            </w:pPr>
            <w:r w:rsidRPr="008D1EC3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113FE3" w:rsidRPr="008D1EC3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7A6594">
            <w:r w:rsidRPr="008D1EC3">
              <w:rPr>
                <w:sz w:val="22"/>
                <w:szCs w:val="22"/>
              </w:rPr>
              <w:t>9.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7A6594">
            <w:r w:rsidRPr="008D1EC3">
              <w:rPr>
                <w:sz w:val="22"/>
                <w:szCs w:val="22"/>
              </w:rPr>
              <w:t>IPA program-prihodi po ugovoru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8D1EC3" w:rsidRDefault="00113FE3" w:rsidP="007A6594">
            <w:pPr>
              <w:jc w:val="right"/>
            </w:pPr>
          </w:p>
          <w:p w:rsidR="00113FE3" w:rsidRPr="008D1EC3" w:rsidRDefault="00113FE3" w:rsidP="007A6594">
            <w:pPr>
              <w:jc w:val="right"/>
            </w:pPr>
            <w:r w:rsidRPr="008D1EC3">
              <w:rPr>
                <w:sz w:val="22"/>
                <w:szCs w:val="22"/>
              </w:rPr>
              <w:t>128.931,72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7A6594">
            <w:pPr>
              <w:jc w:val="right"/>
            </w:pPr>
          </w:p>
          <w:p w:rsidR="00113FE3" w:rsidRPr="008D1EC3" w:rsidRDefault="00113FE3" w:rsidP="007A6594">
            <w:pPr>
              <w:jc w:val="right"/>
            </w:pPr>
            <w:r w:rsidRPr="008D1EC3">
              <w:rPr>
                <w:sz w:val="22"/>
                <w:szCs w:val="22"/>
              </w:rPr>
              <w:t>219.763,97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7A6594">
            <w:pPr>
              <w:jc w:val="center"/>
            </w:pPr>
          </w:p>
          <w:p w:rsidR="00113FE3" w:rsidRPr="008D1EC3" w:rsidRDefault="00113FE3" w:rsidP="007A6594">
            <w:pPr>
              <w:jc w:val="center"/>
            </w:pPr>
            <w:r w:rsidRPr="008D1EC3">
              <w:rPr>
                <w:sz w:val="22"/>
                <w:szCs w:val="22"/>
              </w:rPr>
              <w:t>170,4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8D1EC3" w:rsidRDefault="00113FE3" w:rsidP="007A6594">
            <w:pPr>
              <w:jc w:val="right"/>
              <w:rPr>
                <w:color w:val="000000"/>
              </w:rPr>
            </w:pPr>
            <w:r w:rsidRPr="008D1EC3"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  <w:tr w:rsidR="00113FE3" w:rsidRPr="008D1EC3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7A6594">
            <w:pPr>
              <w:rPr>
                <w:lang w:eastAsia="en-US"/>
              </w:rPr>
            </w:pPr>
            <w:r w:rsidRPr="008D1EC3">
              <w:rPr>
                <w:sz w:val="22"/>
                <w:szCs w:val="22"/>
              </w:rPr>
              <w:t> 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7A6594">
            <w:pPr>
              <w:rPr>
                <w:b/>
                <w:bCs/>
                <w:lang w:eastAsia="en-US"/>
              </w:rPr>
            </w:pPr>
            <w:r w:rsidRPr="008D1EC3">
              <w:rPr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8D1EC3" w:rsidRDefault="00113FE3" w:rsidP="007A6594">
            <w:pPr>
              <w:jc w:val="right"/>
              <w:rPr>
                <w:b/>
                <w:bCs/>
                <w:lang w:eastAsia="en-US"/>
              </w:rPr>
            </w:pPr>
          </w:p>
          <w:p w:rsidR="00113FE3" w:rsidRPr="008D1EC3" w:rsidRDefault="00113FE3" w:rsidP="007A6594">
            <w:pPr>
              <w:jc w:val="right"/>
              <w:rPr>
                <w:b/>
                <w:bCs/>
                <w:lang w:eastAsia="en-US"/>
              </w:rPr>
            </w:pPr>
            <w:r w:rsidRPr="008D1EC3">
              <w:rPr>
                <w:b/>
                <w:bCs/>
                <w:sz w:val="22"/>
                <w:szCs w:val="22"/>
                <w:lang w:eastAsia="en-US"/>
              </w:rPr>
              <w:t>1.009.234,68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7A6594">
            <w:pPr>
              <w:jc w:val="center"/>
              <w:rPr>
                <w:b/>
                <w:bCs/>
                <w:lang w:eastAsia="en-US"/>
              </w:rPr>
            </w:pPr>
          </w:p>
          <w:p w:rsidR="00113FE3" w:rsidRPr="008D1EC3" w:rsidRDefault="00113FE3" w:rsidP="00E17F0C">
            <w:pPr>
              <w:jc w:val="right"/>
              <w:rPr>
                <w:b/>
                <w:bCs/>
                <w:lang w:eastAsia="en-US"/>
              </w:rPr>
            </w:pPr>
            <w:r w:rsidRPr="008D1EC3">
              <w:rPr>
                <w:b/>
                <w:bCs/>
                <w:sz w:val="22"/>
                <w:szCs w:val="22"/>
                <w:lang w:eastAsia="en-US"/>
              </w:rPr>
              <w:t>1.177.494,98,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7A6594">
            <w:pPr>
              <w:tabs>
                <w:tab w:val="center" w:pos="945"/>
                <w:tab w:val="right" w:pos="1891"/>
              </w:tabs>
              <w:jc w:val="center"/>
              <w:rPr>
                <w:b/>
                <w:bCs/>
                <w:lang w:eastAsia="en-US"/>
              </w:rPr>
            </w:pPr>
          </w:p>
          <w:p w:rsidR="00113FE3" w:rsidRPr="008D1EC3" w:rsidRDefault="00113FE3" w:rsidP="005A6961">
            <w:pPr>
              <w:tabs>
                <w:tab w:val="center" w:pos="945"/>
                <w:tab w:val="right" w:pos="1891"/>
              </w:tabs>
              <w:jc w:val="center"/>
              <w:rPr>
                <w:b/>
                <w:bCs/>
                <w:lang w:eastAsia="en-US"/>
              </w:rPr>
            </w:pPr>
            <w:r w:rsidRPr="008D1EC3">
              <w:rPr>
                <w:b/>
                <w:bCs/>
                <w:sz w:val="22"/>
                <w:szCs w:val="22"/>
                <w:lang w:eastAsia="en-US"/>
              </w:rPr>
              <w:t>116,7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7A6594">
            <w:pPr>
              <w:tabs>
                <w:tab w:val="center" w:pos="945"/>
                <w:tab w:val="right" w:pos="1891"/>
              </w:tabs>
              <w:jc w:val="center"/>
              <w:rPr>
                <w:bCs/>
                <w:lang w:eastAsia="en-US"/>
              </w:rPr>
            </w:pPr>
          </w:p>
          <w:p w:rsidR="00113FE3" w:rsidRPr="008D1EC3" w:rsidRDefault="00113FE3" w:rsidP="007A6594">
            <w:pPr>
              <w:tabs>
                <w:tab w:val="center" w:pos="945"/>
                <w:tab w:val="right" w:pos="1891"/>
              </w:tabs>
              <w:jc w:val="center"/>
              <w:rPr>
                <w:bCs/>
                <w:lang w:eastAsia="en-US"/>
              </w:rPr>
            </w:pPr>
            <w:r w:rsidRPr="008D1EC3">
              <w:rPr>
                <w:bCs/>
                <w:sz w:val="22"/>
                <w:szCs w:val="22"/>
                <w:lang w:eastAsia="en-US"/>
              </w:rPr>
              <w:t>100,00</w:t>
            </w:r>
          </w:p>
        </w:tc>
      </w:tr>
    </w:tbl>
    <w:p w:rsidR="0097614B" w:rsidRPr="008D1EC3" w:rsidRDefault="0097614B" w:rsidP="0097614B">
      <w:pPr>
        <w:jc w:val="center"/>
        <w:rPr>
          <w:b/>
          <w:sz w:val="22"/>
          <w:szCs w:val="22"/>
        </w:rPr>
      </w:pPr>
    </w:p>
    <w:p w:rsidR="007925EA" w:rsidRDefault="007925EA" w:rsidP="007925EA">
      <w:pPr>
        <w:jc w:val="both"/>
        <w:rPr>
          <w:lang w:eastAsia="en-US"/>
        </w:rPr>
      </w:pPr>
      <w:r w:rsidRPr="008116EB">
        <w:t xml:space="preserve">U najvećem dijelu ostvareni su </w:t>
      </w:r>
      <w:r>
        <w:t xml:space="preserve">prihodi iz  proračuna Grada Vukovara u iznosu od 386.528,65 </w:t>
      </w:r>
      <w:r>
        <w:rPr>
          <w:rFonts w:ascii="Garamond" w:hAnsi="Garamond"/>
          <w:lang w:eastAsia="en-US"/>
        </w:rPr>
        <w:t xml:space="preserve">kn, </w:t>
      </w:r>
      <w:r>
        <w:rPr>
          <w:lang w:eastAsia="en-US"/>
        </w:rPr>
        <w:t xml:space="preserve">što predstavlja udio od 40,36 </w:t>
      </w:r>
      <w:r w:rsidRPr="008116EB">
        <w:rPr>
          <w:lang w:eastAsia="en-US"/>
        </w:rPr>
        <w:t>%</w:t>
      </w:r>
      <w:r>
        <w:rPr>
          <w:lang w:eastAsia="en-US"/>
        </w:rPr>
        <w:t xml:space="preserve"> </w:t>
      </w:r>
      <w:r w:rsidRPr="008116EB">
        <w:rPr>
          <w:lang w:eastAsia="en-US"/>
        </w:rPr>
        <w:t>u ukupno ostvarenim prihodima</w:t>
      </w:r>
      <w:r>
        <w:rPr>
          <w:lang w:eastAsia="en-US"/>
        </w:rPr>
        <w:t xml:space="preserve">, a zatim ih slijede prihodi od turističke članarine u iznosu od </w:t>
      </w:r>
      <w:r w:rsidRPr="0085357E">
        <w:rPr>
          <w:lang w:eastAsia="en-US"/>
        </w:rPr>
        <w:t>328.202,31kn</w:t>
      </w:r>
      <w:r>
        <w:rPr>
          <w:lang w:eastAsia="en-US"/>
        </w:rPr>
        <w:t xml:space="preserve"> što je 34,27% </w:t>
      </w:r>
      <w:r w:rsidRPr="008116EB">
        <w:rPr>
          <w:lang w:eastAsia="en-US"/>
        </w:rPr>
        <w:t>u ukupno ostvarenim prihodima</w:t>
      </w:r>
      <w:r>
        <w:rPr>
          <w:lang w:eastAsia="en-US"/>
        </w:rPr>
        <w:t>.</w:t>
      </w:r>
    </w:p>
    <w:p w:rsidR="007925EA" w:rsidRDefault="007925EA" w:rsidP="007925EA">
      <w:pPr>
        <w:jc w:val="both"/>
        <w:rPr>
          <w:lang w:eastAsia="en-US"/>
        </w:rPr>
      </w:pPr>
    </w:p>
    <w:tbl>
      <w:tblPr>
        <w:tblW w:w="9641" w:type="dxa"/>
        <w:tblCellSpacing w:w="20" w:type="dxa"/>
        <w:tblInd w:w="-54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tblLayout w:type="fixed"/>
        <w:tblLook w:val="0000"/>
      </w:tblPr>
      <w:tblGrid>
        <w:gridCol w:w="852"/>
        <w:gridCol w:w="2558"/>
        <w:gridCol w:w="1885"/>
        <w:gridCol w:w="2078"/>
        <w:gridCol w:w="1134"/>
        <w:gridCol w:w="1134"/>
      </w:tblGrid>
      <w:tr w:rsidR="00113FE3" w:rsidRPr="00B52289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FE3B3B" w:rsidP="000D24CD">
            <w:pPr>
              <w:rPr>
                <w:b/>
                <w:bCs/>
                <w:lang w:eastAsia="en-US"/>
              </w:rPr>
            </w:pPr>
            <w:r>
              <w:tab/>
            </w:r>
            <w:r w:rsidR="00113FE3" w:rsidRPr="008D1EC3">
              <w:rPr>
                <w:b/>
                <w:bCs/>
                <w:sz w:val="22"/>
                <w:szCs w:val="22"/>
              </w:rPr>
              <w:t>red.     broj</w:t>
            </w: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0D24CD">
            <w:pPr>
              <w:rPr>
                <w:b/>
                <w:bCs/>
                <w:lang w:eastAsia="en-US"/>
              </w:rPr>
            </w:pPr>
            <w:r w:rsidRPr="008D1EC3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</w:tcPr>
          <w:p w:rsidR="00113FE3" w:rsidRPr="008D1EC3" w:rsidRDefault="00113FE3" w:rsidP="000D24CD">
            <w:pPr>
              <w:jc w:val="center"/>
              <w:rPr>
                <w:b/>
                <w:bCs/>
              </w:rPr>
            </w:pPr>
            <w:r w:rsidRPr="008D1EC3">
              <w:rPr>
                <w:b/>
                <w:bCs/>
                <w:sz w:val="22"/>
                <w:szCs w:val="22"/>
              </w:rPr>
              <w:t>Novi plan</w:t>
            </w:r>
          </w:p>
          <w:p w:rsidR="00113FE3" w:rsidRPr="008D1EC3" w:rsidRDefault="00113FE3" w:rsidP="000D24CD">
            <w:pPr>
              <w:jc w:val="center"/>
              <w:rPr>
                <w:b/>
                <w:bCs/>
              </w:rPr>
            </w:pPr>
            <w:r w:rsidRPr="008D1EC3">
              <w:rPr>
                <w:b/>
                <w:bCs/>
                <w:sz w:val="22"/>
                <w:szCs w:val="22"/>
              </w:rPr>
              <w:t>(rebalans)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0D24CD">
            <w:pPr>
              <w:jc w:val="center"/>
              <w:rPr>
                <w:b/>
                <w:bCs/>
              </w:rPr>
            </w:pPr>
            <w:r w:rsidRPr="008D1EC3">
              <w:rPr>
                <w:b/>
                <w:bCs/>
                <w:sz w:val="22"/>
                <w:szCs w:val="22"/>
              </w:rPr>
              <w:t>Ostvareno u 2013.g.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0D24CD">
            <w:pPr>
              <w:jc w:val="center"/>
              <w:rPr>
                <w:b/>
                <w:bCs/>
              </w:rPr>
            </w:pPr>
            <w:r w:rsidRPr="008D1EC3">
              <w:rPr>
                <w:b/>
                <w:bCs/>
                <w:sz w:val="22"/>
                <w:szCs w:val="22"/>
              </w:rPr>
              <w:t>Index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</w:tcPr>
          <w:p w:rsidR="00113FE3" w:rsidRPr="008D1EC3" w:rsidRDefault="00113FE3" w:rsidP="000D24CD">
            <w:pPr>
              <w:jc w:val="center"/>
              <w:rPr>
                <w:b/>
                <w:bCs/>
              </w:rPr>
            </w:pPr>
            <w:r w:rsidRPr="008D1EC3">
              <w:rPr>
                <w:b/>
                <w:bCs/>
                <w:sz w:val="22"/>
                <w:szCs w:val="22"/>
              </w:rPr>
              <w:t>%</w:t>
            </w:r>
          </w:p>
          <w:p w:rsidR="00113FE3" w:rsidRPr="008D1EC3" w:rsidRDefault="00113FE3" w:rsidP="000D24CD">
            <w:pPr>
              <w:jc w:val="center"/>
              <w:rPr>
                <w:b/>
                <w:bCs/>
              </w:rPr>
            </w:pPr>
            <w:r w:rsidRPr="008D1EC3">
              <w:rPr>
                <w:b/>
                <w:bCs/>
                <w:sz w:val="22"/>
                <w:szCs w:val="22"/>
              </w:rPr>
              <w:t>učešća</w:t>
            </w:r>
          </w:p>
        </w:tc>
      </w:tr>
      <w:tr w:rsidR="00113FE3" w:rsidRPr="00B52289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0D24CD">
            <w:pPr>
              <w:rPr>
                <w:b/>
                <w:bCs/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13FE3" w:rsidRPr="008D1EC3" w:rsidRDefault="00113FE3">
            <w:pPr>
              <w:rPr>
                <w:b/>
                <w:bCs/>
                <w:color w:val="000000"/>
              </w:rPr>
            </w:pPr>
            <w:r w:rsidRPr="008D1EC3">
              <w:rPr>
                <w:b/>
                <w:bCs/>
                <w:color w:val="000000"/>
                <w:sz w:val="22"/>
                <w:szCs w:val="22"/>
              </w:rPr>
              <w:t>RASHODI PO VRSTAMA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bottom"/>
          </w:tcPr>
          <w:p w:rsidR="00113FE3" w:rsidRPr="008D1EC3" w:rsidRDefault="00113FE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8D1EC3" w:rsidRDefault="00113FE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8D1EC3" w:rsidRDefault="00113FE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8D1EC3" w:rsidRDefault="00113FE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113FE3" w:rsidRPr="000707D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0D24CD">
            <w:pPr>
              <w:rPr>
                <w:b/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113FE3" w:rsidRPr="008D1EC3" w:rsidRDefault="00113FE3">
            <w:pPr>
              <w:rPr>
                <w:b/>
                <w:bCs/>
                <w:color w:val="000000"/>
              </w:rPr>
            </w:pPr>
            <w:r w:rsidRPr="008D1EC3">
              <w:rPr>
                <w:b/>
                <w:bCs/>
                <w:color w:val="000000"/>
                <w:sz w:val="22"/>
                <w:szCs w:val="22"/>
              </w:rPr>
              <w:t>ADMINISTRATIVNI RASHODI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bottom"/>
          </w:tcPr>
          <w:p w:rsidR="00113FE3" w:rsidRPr="008D1EC3" w:rsidRDefault="00113FE3">
            <w:pPr>
              <w:jc w:val="right"/>
              <w:rPr>
                <w:b/>
                <w:bCs/>
                <w:color w:val="000000"/>
              </w:rPr>
            </w:pPr>
            <w:r w:rsidRPr="008D1EC3">
              <w:rPr>
                <w:b/>
                <w:bCs/>
                <w:color w:val="000000"/>
                <w:sz w:val="22"/>
                <w:szCs w:val="22"/>
              </w:rPr>
              <w:t>465.500,00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8D1EC3" w:rsidRDefault="00113FE3">
            <w:pPr>
              <w:jc w:val="right"/>
              <w:rPr>
                <w:b/>
                <w:bCs/>
                <w:color w:val="000000"/>
              </w:rPr>
            </w:pPr>
            <w:r w:rsidRPr="008D1EC3">
              <w:rPr>
                <w:b/>
                <w:bCs/>
                <w:color w:val="000000"/>
                <w:sz w:val="22"/>
                <w:szCs w:val="22"/>
              </w:rPr>
              <w:t>472.575,01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8D1EC3" w:rsidRDefault="00113FE3">
            <w:pPr>
              <w:jc w:val="right"/>
              <w:rPr>
                <w:b/>
                <w:bCs/>
                <w:color w:val="000000"/>
              </w:rPr>
            </w:pPr>
            <w:r w:rsidRPr="008D1EC3">
              <w:rPr>
                <w:b/>
                <w:bCs/>
                <w:color w:val="000000"/>
                <w:sz w:val="22"/>
                <w:szCs w:val="22"/>
              </w:rPr>
              <w:t>101,52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Pr="008D1EC3" w:rsidRDefault="00113FE3">
            <w:pPr>
              <w:jc w:val="right"/>
              <w:rPr>
                <w:b/>
                <w:bCs/>
                <w:color w:val="000000"/>
              </w:rPr>
            </w:pPr>
            <w:r w:rsidRPr="008D1EC3">
              <w:rPr>
                <w:b/>
                <w:bCs/>
                <w:color w:val="000000"/>
                <w:sz w:val="22"/>
                <w:szCs w:val="22"/>
              </w:rPr>
              <w:t>44,44</w:t>
            </w:r>
          </w:p>
        </w:tc>
      </w:tr>
      <w:tr w:rsidR="00113FE3" w:rsidRPr="000707DC" w:rsidTr="00113FE3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0D24CD">
            <w:pPr>
              <w:rPr>
                <w:b/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0D24CD">
            <w:pPr>
              <w:rPr>
                <w:b/>
                <w:lang w:eastAsia="en-US"/>
              </w:rPr>
            </w:pPr>
            <w:r w:rsidRPr="008D1EC3">
              <w:rPr>
                <w:b/>
                <w:sz w:val="22"/>
                <w:szCs w:val="22"/>
                <w:lang w:eastAsia="en-US"/>
              </w:rPr>
              <w:t>RASHODI - FUNKCIONALNI MARKETING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center"/>
          </w:tcPr>
          <w:p w:rsidR="00113FE3" w:rsidRPr="00113FE3" w:rsidRDefault="00113FE3">
            <w:pPr>
              <w:jc w:val="right"/>
              <w:rPr>
                <w:b/>
                <w:color w:val="000000"/>
              </w:rPr>
            </w:pPr>
            <w:r w:rsidRPr="00113FE3">
              <w:rPr>
                <w:b/>
                <w:color w:val="000000"/>
                <w:sz w:val="22"/>
                <w:szCs w:val="22"/>
              </w:rPr>
              <w:t>486.590,98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113FE3" w:rsidRPr="00113FE3" w:rsidRDefault="00113FE3">
            <w:pPr>
              <w:jc w:val="right"/>
              <w:rPr>
                <w:b/>
                <w:color w:val="000000"/>
              </w:rPr>
            </w:pPr>
            <w:r w:rsidRPr="00113FE3">
              <w:rPr>
                <w:b/>
                <w:color w:val="000000"/>
                <w:sz w:val="22"/>
                <w:szCs w:val="22"/>
              </w:rPr>
              <w:t>590.867,55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113FE3" w:rsidRPr="00113FE3" w:rsidRDefault="00113FE3">
            <w:pPr>
              <w:jc w:val="right"/>
              <w:rPr>
                <w:b/>
                <w:color w:val="000000"/>
              </w:rPr>
            </w:pPr>
            <w:r w:rsidRPr="00113FE3">
              <w:rPr>
                <w:b/>
                <w:color w:val="000000"/>
                <w:sz w:val="22"/>
                <w:szCs w:val="22"/>
              </w:rPr>
              <w:t>119,5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113FE3" w:rsidRPr="00113FE3" w:rsidRDefault="00113FE3">
            <w:pPr>
              <w:jc w:val="right"/>
              <w:rPr>
                <w:b/>
                <w:bCs/>
                <w:color w:val="000000"/>
              </w:rPr>
            </w:pPr>
            <w:r w:rsidRPr="00113FE3">
              <w:rPr>
                <w:b/>
                <w:bCs/>
                <w:color w:val="000000"/>
                <w:sz w:val="22"/>
                <w:szCs w:val="22"/>
              </w:rPr>
              <w:t>55,56</w:t>
            </w:r>
          </w:p>
        </w:tc>
      </w:tr>
      <w:tr w:rsidR="00113FE3" w:rsidRPr="000707DC" w:rsidTr="00274331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0D24CD">
            <w:pPr>
              <w:rPr>
                <w:b/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113FE3" w:rsidRDefault="00113FE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DIZAJN VRIJEDNOSTI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169.858,48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173.783,84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102,31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16,34</w:t>
            </w:r>
          </w:p>
        </w:tc>
      </w:tr>
      <w:tr w:rsidR="00113FE3" w:rsidRPr="00B52289" w:rsidTr="006E0C56">
        <w:trPr>
          <w:trHeight w:val="81"/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0D24CD">
            <w:pPr>
              <w:rPr>
                <w:b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113FE3" w:rsidRDefault="00113FE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KOMUNIKACIJA VRIJEDNOSTI 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118.030,00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139.863,69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13,15</w:t>
            </w:r>
          </w:p>
        </w:tc>
      </w:tr>
      <w:tr w:rsidR="00113FE3" w:rsidRPr="00B52289" w:rsidTr="00FD7EE5">
        <w:trPr>
          <w:trHeight w:val="81"/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0D24CD"/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113FE3" w:rsidRDefault="00113FE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DISTRIBUCIJA I PRODAJA VRIJEDNOSTI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19.553,83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19.553,83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1,84</w:t>
            </w:r>
          </w:p>
        </w:tc>
      </w:tr>
      <w:tr w:rsidR="005B48FE" w:rsidRPr="00B52289" w:rsidTr="00197AA9">
        <w:trPr>
          <w:trHeight w:val="421"/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5B48FE" w:rsidRPr="008D1EC3" w:rsidRDefault="005B48FE" w:rsidP="000D24CD">
            <w:pPr>
              <w:rPr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B48FE" w:rsidRDefault="005B48F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B48FE">
              <w:rPr>
                <w:rFonts w:ascii="Calibri" w:hAnsi="Calibri"/>
                <w:b/>
                <w:bCs/>
                <w:sz w:val="20"/>
                <w:szCs w:val="20"/>
              </w:rPr>
              <w:t>INTERNI MARKETING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bottom"/>
          </w:tcPr>
          <w:p w:rsidR="005B48FE" w:rsidRDefault="005B48F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8.965,00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5B48FE" w:rsidRDefault="005B48F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9.227,00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5B48FE" w:rsidRDefault="005B48F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102,92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5B48FE" w:rsidRDefault="005B48F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0,87</w:t>
            </w:r>
          </w:p>
        </w:tc>
      </w:tr>
      <w:tr w:rsidR="00113FE3" w:rsidRPr="00B52289" w:rsidTr="00197AA9">
        <w:trPr>
          <w:trHeight w:val="421"/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113FE3" w:rsidRPr="008D1EC3" w:rsidRDefault="00113FE3" w:rsidP="000D24CD">
            <w:pPr>
              <w:rPr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113FE3" w:rsidRDefault="00113FE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MARKETINŠKA INFRASTRUKTURA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14.716,17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7.075,00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113FE3" w:rsidRDefault="00113FE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0,67</w:t>
            </w:r>
          </w:p>
        </w:tc>
      </w:tr>
      <w:tr w:rsidR="00D77FE0" w:rsidRPr="00B52289" w:rsidTr="00122342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D77FE0" w:rsidRPr="008D1EC3" w:rsidRDefault="00D77FE0" w:rsidP="000D24CD">
            <w:pPr>
              <w:rPr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7FE0" w:rsidRDefault="00D77FE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OSTALO </w:t>
            </w:r>
            <w:r>
              <w:rPr>
                <w:rFonts w:ascii="Calibri" w:hAnsi="Calibri"/>
                <w:sz w:val="20"/>
                <w:szCs w:val="20"/>
              </w:rPr>
              <w:t>(planovi razvoja turizma, strateški marketing planovi i ostalo)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center"/>
          </w:tcPr>
          <w:p w:rsidR="00D77FE0" w:rsidRDefault="00D77FE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138.467,50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D77FE0" w:rsidRDefault="00D77FE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220.521,81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D77FE0" w:rsidRDefault="00D77FE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159,26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D77FE0" w:rsidRDefault="00D77FE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20,74</w:t>
            </w:r>
          </w:p>
        </w:tc>
      </w:tr>
      <w:tr w:rsidR="00D77FE0" w:rsidRPr="00B52289" w:rsidTr="00753547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D77FE0" w:rsidRPr="008D1EC3" w:rsidRDefault="00D77FE0" w:rsidP="000D24CD">
            <w:pPr>
              <w:rPr>
                <w:lang w:eastAsia="en-US"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7FE0" w:rsidRPr="00D77FE0" w:rsidRDefault="00D77FE0" w:rsidP="000D24CD">
            <w:pPr>
              <w:rPr>
                <w:sz w:val="20"/>
                <w:szCs w:val="20"/>
              </w:rPr>
            </w:pPr>
            <w:r w:rsidRPr="00D77FE0">
              <w:rPr>
                <w:sz w:val="20"/>
                <w:szCs w:val="20"/>
              </w:rPr>
              <w:t>TRANSFER BORAVIŠNE PRISTOJBE OPĆINI/GRADU (30%)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bottom"/>
          </w:tcPr>
          <w:p w:rsidR="00D77FE0" w:rsidRDefault="00D77FE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D77FE0" w:rsidRDefault="00D77FE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20.842,38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D77FE0" w:rsidRDefault="00D77FE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122,60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D77FE0" w:rsidRDefault="00D77FE0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1,96</w:t>
            </w:r>
          </w:p>
        </w:tc>
      </w:tr>
      <w:tr w:rsidR="005B48FE" w:rsidRPr="00B52289" w:rsidTr="0097110A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5B48FE" w:rsidRPr="008D1EC3" w:rsidRDefault="005B48FE" w:rsidP="000D24CD">
            <w:pPr>
              <w:rPr>
                <w:b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B48FE" w:rsidRDefault="005B48F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RASHODI - FUNKCIONALNI MARKETING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center"/>
          </w:tcPr>
          <w:p w:rsidR="005B48FE" w:rsidRDefault="005B48F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486.590,98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5B48FE" w:rsidRDefault="005B48F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590.867,55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5B48FE" w:rsidRDefault="005B48F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119,5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5B48FE" w:rsidRDefault="005B48F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55,56</w:t>
            </w:r>
          </w:p>
        </w:tc>
      </w:tr>
      <w:tr w:rsidR="005B48FE" w:rsidRPr="00B52289" w:rsidTr="0097110A">
        <w:trPr>
          <w:tblCellSpacing w:w="20" w:type="dxa"/>
        </w:trPr>
        <w:tc>
          <w:tcPr>
            <w:tcW w:w="792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5B48FE" w:rsidRPr="008D1EC3" w:rsidRDefault="005B48FE" w:rsidP="000D24CD">
            <w:pPr>
              <w:rPr>
                <w:b/>
              </w:rPr>
            </w:pPr>
          </w:p>
        </w:tc>
        <w:tc>
          <w:tcPr>
            <w:tcW w:w="25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B48FE" w:rsidRDefault="005B48F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845" w:type="dxa"/>
            <w:tcBorders>
              <w:top w:val="inset" w:sz="6" w:space="0" w:color="auto"/>
              <w:left w:val="single" w:sz="4" w:space="0" w:color="auto"/>
              <w:bottom w:val="inset" w:sz="6" w:space="0" w:color="auto"/>
            </w:tcBorders>
            <w:vAlign w:val="bottom"/>
          </w:tcPr>
          <w:p w:rsidR="005B48FE" w:rsidRDefault="005B48F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952.090,98</w:t>
            </w:r>
          </w:p>
        </w:tc>
        <w:tc>
          <w:tcPr>
            <w:tcW w:w="203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5B48FE" w:rsidRDefault="005B48F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1.063.442,56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bottom"/>
          </w:tcPr>
          <w:p w:rsidR="005B48FE" w:rsidRDefault="005B48F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111,70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5B48FE" w:rsidRDefault="005B48FE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:rsidR="0097614B" w:rsidRDefault="005B48FE">
      <w:r w:rsidRPr="005A4944">
        <w:t>U najvećem dijelu ostvareni su rashodi za funkcionalni marketing</w:t>
      </w:r>
      <w:r>
        <w:t>, tj. rashodi za aktivnosti Turističke zajednice</w:t>
      </w:r>
      <w:r w:rsidRPr="005A4944">
        <w:t xml:space="preserve"> i to u iznosu od</w:t>
      </w:r>
      <w:r>
        <w:t xml:space="preserve"> </w:t>
      </w:r>
      <w:r w:rsidRPr="00DC59A4">
        <w:rPr>
          <w:color w:val="000000"/>
        </w:rPr>
        <w:t>590.867,55</w:t>
      </w:r>
      <w:r>
        <w:t xml:space="preserve"> </w:t>
      </w:r>
      <w:r>
        <w:rPr>
          <w:lang w:eastAsia="en-US"/>
        </w:rPr>
        <w:t xml:space="preserve">kn što predstavlja udio od 55,6% u ukupno ostvarenim rashodima, dok su rashodi za administrativni marketing ostvareni u iznosu od </w:t>
      </w:r>
      <w:r w:rsidRPr="00DC59A4">
        <w:rPr>
          <w:bCs/>
          <w:color w:val="000000"/>
        </w:rPr>
        <w:t>472.575,01</w:t>
      </w:r>
      <w:r>
        <w:rPr>
          <w:lang w:eastAsia="en-US"/>
        </w:rPr>
        <w:t xml:space="preserve"> kn </w:t>
      </w:r>
      <w:r>
        <w:rPr>
          <w:bCs/>
          <w:lang w:eastAsia="en-US"/>
        </w:rPr>
        <w:t xml:space="preserve">što predstavlja udio od 44,4% </w:t>
      </w:r>
      <w:r>
        <w:rPr>
          <w:lang w:eastAsia="en-US"/>
        </w:rPr>
        <w:t>u ukupno ostvarenim rashodima i to NO smatra zadovoljavujući.</w:t>
      </w:r>
    </w:p>
    <w:p w:rsidR="0097614B" w:rsidRDefault="0097614B"/>
    <w:p w:rsidR="0097614B" w:rsidRDefault="0097614B"/>
    <w:p w:rsidR="00FE3B3B" w:rsidRDefault="00FE3B3B" w:rsidP="00A923A4">
      <w:pPr>
        <w:ind w:left="4956" w:firstLine="708"/>
      </w:pPr>
      <w:r>
        <w:t>Predsjednik Nadzornog odbora:</w:t>
      </w:r>
    </w:p>
    <w:p w:rsidR="00FE3B3B" w:rsidRDefault="00FE3B3B"/>
    <w:p w:rsidR="00FE3B3B" w:rsidRDefault="00FE3B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Jovan Knežević, dipl. oec.</w:t>
      </w:r>
    </w:p>
    <w:sectPr w:rsidR="00FE3B3B" w:rsidSect="00AB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15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0000491C"/>
    <w:multiLevelType w:val="hybridMultilevel"/>
    <w:tmpl w:val="38B4A3DA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548C54C2"/>
    <w:multiLevelType w:val="hybridMultilevel"/>
    <w:tmpl w:val="8276653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>
      <w:startOverride w:val="15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74D"/>
    <w:rsid w:val="00095525"/>
    <w:rsid w:val="00096487"/>
    <w:rsid w:val="00113FE3"/>
    <w:rsid w:val="001B397D"/>
    <w:rsid w:val="002A553C"/>
    <w:rsid w:val="002D08C2"/>
    <w:rsid w:val="0033074D"/>
    <w:rsid w:val="00402CB1"/>
    <w:rsid w:val="004171E2"/>
    <w:rsid w:val="005A6961"/>
    <w:rsid w:val="005B48FE"/>
    <w:rsid w:val="00712487"/>
    <w:rsid w:val="00731828"/>
    <w:rsid w:val="00755BD2"/>
    <w:rsid w:val="00783498"/>
    <w:rsid w:val="007925EA"/>
    <w:rsid w:val="007931A4"/>
    <w:rsid w:val="008D1EC3"/>
    <w:rsid w:val="0097614B"/>
    <w:rsid w:val="00A0601D"/>
    <w:rsid w:val="00A47936"/>
    <w:rsid w:val="00A5713E"/>
    <w:rsid w:val="00A923A4"/>
    <w:rsid w:val="00AA345F"/>
    <w:rsid w:val="00AB4335"/>
    <w:rsid w:val="00B4692B"/>
    <w:rsid w:val="00C4024C"/>
    <w:rsid w:val="00CE3A9B"/>
    <w:rsid w:val="00D378ED"/>
    <w:rsid w:val="00D77FE0"/>
    <w:rsid w:val="00DB53AD"/>
    <w:rsid w:val="00DD0DDE"/>
    <w:rsid w:val="00DF5295"/>
    <w:rsid w:val="00E120CC"/>
    <w:rsid w:val="00E17F0C"/>
    <w:rsid w:val="00EC4ECC"/>
    <w:rsid w:val="00F97453"/>
    <w:rsid w:val="00FB10B3"/>
    <w:rsid w:val="00FD2990"/>
    <w:rsid w:val="00FE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74D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74D"/>
    <w:pPr>
      <w:keepNext/>
      <w:widowControl/>
      <w:suppressAutoHyphens w:val="0"/>
      <w:outlineLvl w:val="0"/>
    </w:pPr>
    <w:rPr>
      <w:rFonts w:eastAsia="Times New Roman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307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330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Marijana</cp:lastModifiedBy>
  <cp:revision>17</cp:revision>
  <dcterms:created xsi:type="dcterms:W3CDTF">2014-01-08T08:36:00Z</dcterms:created>
  <dcterms:modified xsi:type="dcterms:W3CDTF">2014-07-16T07:14:00Z</dcterms:modified>
</cp:coreProperties>
</file>