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B6" w:rsidRDefault="00F824B6" w:rsidP="00821DA8">
      <w:pPr>
        <w:rPr>
          <w:rFonts w:asciiTheme="majorHAnsi" w:hAnsiTheme="majorHAnsi"/>
        </w:rPr>
      </w:pPr>
    </w:p>
    <w:p w:rsidR="00821DA8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>NADZORNI ODBOR</w:t>
      </w:r>
    </w:p>
    <w:p w:rsidR="00821DA8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TURISTIČKE ZAJEDNICE </w:t>
      </w:r>
    </w:p>
    <w:p w:rsidR="00821DA8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>GRADA VUKOVARA</w:t>
      </w:r>
    </w:p>
    <w:p w:rsidR="00821DA8" w:rsidRPr="00F824B6" w:rsidRDefault="00821DA8" w:rsidP="00821DA8">
      <w:pPr>
        <w:rPr>
          <w:rFonts w:asciiTheme="majorHAnsi" w:hAnsiTheme="majorHAnsi"/>
        </w:rPr>
      </w:pPr>
    </w:p>
    <w:p w:rsidR="00821DA8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="00F824B6" w:rsidRPr="00F824B6">
        <w:rPr>
          <w:rFonts w:asciiTheme="majorHAnsi" w:hAnsiTheme="majorHAnsi"/>
        </w:rPr>
        <w:t xml:space="preserve">         </w:t>
      </w:r>
      <w:r w:rsidRPr="00F824B6">
        <w:rPr>
          <w:rFonts w:asciiTheme="majorHAnsi" w:hAnsiTheme="majorHAnsi"/>
        </w:rPr>
        <w:t>SKUPŠTINA</w:t>
      </w:r>
    </w:p>
    <w:p w:rsidR="00F824B6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="00F824B6" w:rsidRPr="00F824B6">
        <w:rPr>
          <w:rFonts w:asciiTheme="majorHAnsi" w:hAnsiTheme="majorHAnsi"/>
        </w:rPr>
        <w:t xml:space="preserve">        </w:t>
      </w:r>
      <w:r w:rsidR="00F824B6">
        <w:rPr>
          <w:rFonts w:asciiTheme="majorHAnsi" w:hAnsiTheme="majorHAnsi"/>
        </w:rPr>
        <w:t xml:space="preserve">   </w:t>
      </w:r>
      <w:r w:rsidRPr="00F824B6">
        <w:rPr>
          <w:rFonts w:asciiTheme="majorHAnsi" w:hAnsiTheme="majorHAnsi"/>
        </w:rPr>
        <w:t>TURISTIČKE ZAJEDNICE</w:t>
      </w:r>
      <w:r w:rsidR="00F824B6" w:rsidRPr="00F824B6">
        <w:rPr>
          <w:rFonts w:asciiTheme="majorHAnsi" w:hAnsiTheme="majorHAnsi"/>
        </w:rPr>
        <w:t xml:space="preserve"> </w:t>
      </w:r>
    </w:p>
    <w:p w:rsidR="00821DA8" w:rsidRPr="00F824B6" w:rsidRDefault="00F824B6" w:rsidP="00F824B6">
      <w:pPr>
        <w:ind w:left="4248" w:firstLine="708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 xml:space="preserve">  GRADA VUKOVARA</w:t>
      </w:r>
    </w:p>
    <w:p w:rsidR="00821DA8" w:rsidRPr="00F824B6" w:rsidRDefault="00821DA8" w:rsidP="00821DA8">
      <w:pPr>
        <w:rPr>
          <w:rFonts w:asciiTheme="majorHAnsi" w:hAnsiTheme="majorHAnsi"/>
        </w:rPr>
      </w:pPr>
    </w:p>
    <w:p w:rsidR="00821DA8" w:rsidRPr="00F824B6" w:rsidRDefault="00821DA8" w:rsidP="00821DA8">
      <w:pPr>
        <w:rPr>
          <w:rFonts w:asciiTheme="majorHAnsi" w:hAnsiTheme="majorHAnsi"/>
        </w:rPr>
      </w:pPr>
    </w:p>
    <w:p w:rsidR="00821DA8" w:rsidRDefault="00821DA8" w:rsidP="00821DA8">
      <w:pPr>
        <w:rPr>
          <w:rFonts w:asciiTheme="majorHAnsi" w:hAnsiTheme="majorHAnsi"/>
        </w:rPr>
      </w:pPr>
    </w:p>
    <w:p w:rsidR="00F824B6" w:rsidRPr="00F824B6" w:rsidRDefault="00F824B6" w:rsidP="00821DA8">
      <w:pPr>
        <w:rPr>
          <w:rFonts w:asciiTheme="majorHAnsi" w:hAnsiTheme="majorHAnsi"/>
        </w:rPr>
      </w:pPr>
    </w:p>
    <w:p w:rsidR="00821DA8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>PREDMET:  Izvješće o obavljenom nadzoru Nadzornog odbora Turističke zajednice</w:t>
      </w:r>
    </w:p>
    <w:p w:rsidR="00821DA8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ab/>
        <w:t xml:space="preserve">         </w:t>
      </w:r>
      <w:r w:rsidR="00F824B6" w:rsidRPr="00F824B6"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>nad poslovanjem TZ grada Vukovara za period od 01.01.</w:t>
      </w:r>
      <w:r w:rsidR="00F824B6" w:rsidRPr="00F824B6"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>-</w:t>
      </w:r>
      <w:r w:rsidR="00F824B6" w:rsidRPr="00F824B6"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>30.06. 201</w:t>
      </w:r>
      <w:r w:rsidR="008937CF">
        <w:rPr>
          <w:rFonts w:asciiTheme="majorHAnsi" w:hAnsiTheme="majorHAnsi"/>
        </w:rPr>
        <w:t>5</w:t>
      </w:r>
      <w:r w:rsidRPr="00F824B6">
        <w:rPr>
          <w:rFonts w:asciiTheme="majorHAnsi" w:hAnsiTheme="majorHAnsi"/>
        </w:rPr>
        <w:t>.</w:t>
      </w:r>
      <w:r w:rsidR="00F824B6" w:rsidRPr="00F824B6">
        <w:rPr>
          <w:rFonts w:asciiTheme="majorHAnsi" w:hAnsiTheme="majorHAnsi"/>
        </w:rPr>
        <w:t xml:space="preserve"> </w:t>
      </w:r>
      <w:r w:rsidR="00F824B6">
        <w:rPr>
          <w:rFonts w:asciiTheme="majorHAnsi" w:hAnsiTheme="majorHAnsi"/>
        </w:rPr>
        <w:t>g</w:t>
      </w:r>
      <w:r w:rsidR="00F824B6" w:rsidRPr="00F824B6">
        <w:rPr>
          <w:rFonts w:asciiTheme="majorHAnsi" w:hAnsiTheme="majorHAnsi"/>
        </w:rPr>
        <w:t>odine</w:t>
      </w:r>
    </w:p>
    <w:p w:rsidR="00F824B6" w:rsidRDefault="00F824B6" w:rsidP="00821DA8">
      <w:pPr>
        <w:rPr>
          <w:rFonts w:asciiTheme="majorHAnsi" w:hAnsiTheme="majorHAnsi"/>
        </w:rPr>
      </w:pPr>
    </w:p>
    <w:p w:rsidR="00F824B6" w:rsidRPr="00F824B6" w:rsidRDefault="00F824B6" w:rsidP="00821DA8">
      <w:pPr>
        <w:rPr>
          <w:rFonts w:asciiTheme="majorHAnsi" w:hAnsiTheme="majorHAnsi"/>
        </w:rPr>
      </w:pPr>
    </w:p>
    <w:p w:rsidR="00821DA8" w:rsidRPr="00F824B6" w:rsidRDefault="00821DA8" w:rsidP="00821DA8">
      <w:pPr>
        <w:rPr>
          <w:rFonts w:asciiTheme="majorHAnsi" w:hAnsiTheme="majorHAnsi"/>
        </w:rPr>
      </w:pPr>
    </w:p>
    <w:p w:rsidR="00821DA8" w:rsidRPr="00F824B6" w:rsidRDefault="00821DA8" w:rsidP="00821DA8">
      <w:pPr>
        <w:numPr>
          <w:ilvl w:val="0"/>
          <w:numId w:val="1"/>
        </w:numPr>
        <w:tabs>
          <w:tab w:val="clear" w:pos="720"/>
          <w:tab w:val="num" w:pos="364"/>
        </w:tabs>
        <w:suppressAutoHyphens w:val="0"/>
        <w:overflowPunct w:val="0"/>
        <w:autoSpaceDE w:val="0"/>
        <w:autoSpaceDN w:val="0"/>
        <w:adjustRightInd w:val="0"/>
        <w:ind w:left="364" w:hanging="364"/>
        <w:jc w:val="both"/>
        <w:rPr>
          <w:rFonts w:asciiTheme="majorHAnsi" w:hAnsiTheme="majorHAnsi"/>
          <w:b/>
          <w:bCs/>
        </w:rPr>
      </w:pPr>
      <w:r w:rsidRPr="00F824B6">
        <w:rPr>
          <w:rFonts w:asciiTheme="majorHAnsi" w:hAnsiTheme="majorHAnsi"/>
          <w:b/>
          <w:bCs/>
        </w:rPr>
        <w:t xml:space="preserve">Opći podaci o samome nadzoru </w:t>
      </w:r>
    </w:p>
    <w:p w:rsidR="00821DA8" w:rsidRDefault="00821DA8" w:rsidP="00821DA8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Nadzorni odbor TZ grada Vukovara obavio je dana 1</w:t>
      </w:r>
      <w:r w:rsidR="00361A4F">
        <w:rPr>
          <w:rFonts w:asciiTheme="majorHAnsi" w:hAnsiTheme="majorHAnsi"/>
        </w:rPr>
        <w:t>0</w:t>
      </w:r>
      <w:r w:rsidRPr="00F824B6">
        <w:rPr>
          <w:rFonts w:asciiTheme="majorHAnsi" w:hAnsiTheme="majorHAnsi"/>
        </w:rPr>
        <w:t xml:space="preserve">. </w:t>
      </w:r>
      <w:r w:rsidR="00361A4F">
        <w:rPr>
          <w:rFonts w:asciiTheme="majorHAnsi" w:hAnsiTheme="majorHAnsi"/>
        </w:rPr>
        <w:t>prosinca</w:t>
      </w:r>
      <w:r w:rsidRPr="00F824B6">
        <w:rPr>
          <w:rFonts w:asciiTheme="majorHAnsi" w:hAnsiTheme="majorHAnsi"/>
        </w:rPr>
        <w:t>201</w:t>
      </w:r>
      <w:r w:rsidR="00361A4F">
        <w:rPr>
          <w:rFonts w:asciiTheme="majorHAnsi" w:hAnsiTheme="majorHAnsi"/>
        </w:rPr>
        <w:t>5</w:t>
      </w:r>
      <w:r w:rsidRPr="00F824B6">
        <w:rPr>
          <w:rFonts w:asciiTheme="majorHAnsi" w:hAnsiTheme="majorHAnsi"/>
        </w:rPr>
        <w:t>. godine nadzor nad poslovanjem TZ grada Vukovara za razdoblje 1. siječnja – 30. lipnja 201</w:t>
      </w:r>
      <w:r w:rsidR="00361A4F">
        <w:rPr>
          <w:rFonts w:asciiTheme="majorHAnsi" w:hAnsiTheme="majorHAnsi"/>
        </w:rPr>
        <w:t>5</w:t>
      </w:r>
      <w:r w:rsidRPr="00F824B6">
        <w:rPr>
          <w:rFonts w:asciiTheme="majorHAnsi" w:hAnsiTheme="majorHAnsi"/>
        </w:rPr>
        <w:t xml:space="preserve">. godine. </w:t>
      </w:r>
    </w:p>
    <w:p w:rsidR="00F824B6" w:rsidRPr="00F824B6" w:rsidRDefault="00F824B6" w:rsidP="00821DA8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821DA8" w:rsidRPr="00F824B6" w:rsidRDefault="00821DA8" w:rsidP="00821DA8">
      <w:pPr>
        <w:numPr>
          <w:ilvl w:val="1"/>
          <w:numId w:val="1"/>
        </w:numPr>
        <w:tabs>
          <w:tab w:val="clear" w:pos="1440"/>
          <w:tab w:val="num" w:pos="724"/>
        </w:tabs>
        <w:suppressAutoHyphens w:val="0"/>
        <w:overflowPunct w:val="0"/>
        <w:autoSpaceDE w:val="0"/>
        <w:autoSpaceDN w:val="0"/>
        <w:adjustRightInd w:val="0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Obavljen je nadzor nad: </w:t>
      </w:r>
    </w:p>
    <w:p w:rsidR="00821DA8" w:rsidRPr="00F824B6" w:rsidRDefault="00821DA8" w:rsidP="00821DA8">
      <w:pPr>
        <w:tabs>
          <w:tab w:val="left" w:pos="1423"/>
        </w:tabs>
        <w:autoSpaceDE w:val="0"/>
        <w:autoSpaceDN w:val="0"/>
        <w:adjustRightInd w:val="0"/>
        <w:spacing w:line="234" w:lineRule="auto"/>
        <w:ind w:left="1084"/>
        <w:rPr>
          <w:rFonts w:asciiTheme="majorHAnsi" w:hAnsiTheme="majorHAnsi"/>
        </w:rPr>
      </w:pPr>
      <w:r w:rsidRPr="00F824B6">
        <w:rPr>
          <w:rFonts w:asciiTheme="majorHAnsi" w:hAnsiTheme="majorHAnsi"/>
        </w:rPr>
        <w:t>o</w:t>
      </w:r>
      <w:r w:rsidRPr="00F824B6">
        <w:rPr>
          <w:rFonts w:asciiTheme="majorHAnsi" w:hAnsiTheme="majorHAnsi"/>
        </w:rPr>
        <w:tab/>
        <w:t>vođenjem poslova turističke zajednice,</w:t>
      </w:r>
    </w:p>
    <w:p w:rsidR="00821DA8" w:rsidRPr="00F824B6" w:rsidRDefault="00821DA8" w:rsidP="00821DA8">
      <w:pPr>
        <w:autoSpaceDE w:val="0"/>
        <w:autoSpaceDN w:val="0"/>
        <w:adjustRightInd w:val="0"/>
        <w:spacing w:line="46" w:lineRule="exact"/>
        <w:rPr>
          <w:rFonts w:asciiTheme="majorHAnsi" w:hAnsiTheme="majorHAnsi"/>
        </w:rPr>
      </w:pPr>
    </w:p>
    <w:p w:rsidR="00821DA8" w:rsidRPr="00F824B6" w:rsidRDefault="00821DA8" w:rsidP="00821DA8">
      <w:pPr>
        <w:tabs>
          <w:tab w:val="left" w:pos="1423"/>
        </w:tabs>
        <w:overflowPunct w:val="0"/>
        <w:autoSpaceDE w:val="0"/>
        <w:autoSpaceDN w:val="0"/>
        <w:adjustRightInd w:val="0"/>
        <w:spacing w:line="214" w:lineRule="auto"/>
        <w:ind w:left="1444" w:hanging="360"/>
        <w:rPr>
          <w:rFonts w:asciiTheme="majorHAnsi" w:hAnsiTheme="majorHAnsi"/>
        </w:rPr>
      </w:pPr>
      <w:r w:rsidRPr="00F824B6">
        <w:rPr>
          <w:rFonts w:asciiTheme="majorHAnsi" w:hAnsiTheme="majorHAnsi"/>
        </w:rPr>
        <w:t>o</w:t>
      </w:r>
      <w:r w:rsidRPr="00F824B6">
        <w:rPr>
          <w:rFonts w:asciiTheme="majorHAnsi" w:hAnsiTheme="majorHAnsi"/>
        </w:rPr>
        <w:tab/>
        <w:t>materijalnim i financijskim poslovanjem i raspolaganjem sredstvima turističke zajednice,</w:t>
      </w:r>
    </w:p>
    <w:p w:rsidR="00821DA8" w:rsidRPr="00F824B6" w:rsidRDefault="00821DA8" w:rsidP="00821DA8">
      <w:pPr>
        <w:numPr>
          <w:ilvl w:val="2"/>
          <w:numId w:val="2"/>
        </w:numPr>
        <w:tabs>
          <w:tab w:val="clear" w:pos="2160"/>
          <w:tab w:val="num" w:pos="1444"/>
        </w:tabs>
        <w:suppressAutoHyphens w:val="0"/>
        <w:overflowPunct w:val="0"/>
        <w:autoSpaceDE w:val="0"/>
        <w:autoSpaceDN w:val="0"/>
        <w:adjustRightInd w:val="0"/>
        <w:spacing w:line="235" w:lineRule="auto"/>
        <w:ind w:left="144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izvršenjem i provedbom programa rada i financijskog plana turističke zajednice</w:t>
      </w:r>
    </w:p>
    <w:p w:rsidR="00821DA8" w:rsidRPr="00F824B6" w:rsidRDefault="00821DA8" w:rsidP="00821DA8">
      <w:pPr>
        <w:suppressAutoHyphens w:val="0"/>
        <w:overflowPunct w:val="0"/>
        <w:autoSpaceDE w:val="0"/>
        <w:autoSpaceDN w:val="0"/>
        <w:adjustRightInd w:val="0"/>
        <w:spacing w:line="235" w:lineRule="auto"/>
        <w:ind w:left="108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 </w:t>
      </w:r>
    </w:p>
    <w:p w:rsidR="00821DA8" w:rsidRPr="00F824B6" w:rsidRDefault="00821DA8" w:rsidP="00821DA8">
      <w:pPr>
        <w:suppressAutoHyphens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Nadzorni odbor pregledao je slijedeću dokumentaciju: izvršenje financijskog plana TZ grada Vukovara za nadzirano razdoblje: tablicu ostvarenja financijskog plana s iskazanim indeksima i strukturom, temeljna financijska izvješća: račun prihoda i</w:t>
      </w:r>
      <w:r w:rsidR="006C5EAB" w:rsidRPr="00F824B6">
        <w:rPr>
          <w:rFonts w:asciiTheme="majorHAnsi" w:hAnsiTheme="majorHAnsi"/>
        </w:rPr>
        <w:t xml:space="preserve"> rashoda (obrazac PR-RAS-NPF).</w:t>
      </w:r>
    </w:p>
    <w:p w:rsidR="00821DA8" w:rsidRPr="00F824B6" w:rsidRDefault="00821DA8" w:rsidP="00821DA8">
      <w:pPr>
        <w:autoSpaceDE w:val="0"/>
        <w:autoSpaceDN w:val="0"/>
        <w:adjustRightInd w:val="0"/>
        <w:spacing w:line="246" w:lineRule="exact"/>
        <w:rPr>
          <w:rFonts w:asciiTheme="majorHAnsi" w:hAnsiTheme="majorHAnsi" w:cs="Garamond"/>
        </w:rPr>
      </w:pPr>
    </w:p>
    <w:p w:rsidR="00821DA8" w:rsidRDefault="00821DA8" w:rsidP="00821DA8">
      <w:pPr>
        <w:pStyle w:val="ListParagraph"/>
        <w:rPr>
          <w:rFonts w:asciiTheme="majorHAnsi" w:hAnsiTheme="majorHAnsi"/>
        </w:rPr>
      </w:pPr>
    </w:p>
    <w:p w:rsidR="00F824B6" w:rsidRPr="00F824B6" w:rsidRDefault="00F824B6" w:rsidP="00821DA8">
      <w:pPr>
        <w:pStyle w:val="ListParagraph"/>
        <w:rPr>
          <w:rFonts w:asciiTheme="majorHAnsi" w:hAnsiTheme="majorHAnsi"/>
        </w:rPr>
      </w:pPr>
    </w:p>
    <w:p w:rsidR="00F824B6" w:rsidRDefault="00821DA8" w:rsidP="00821DA8">
      <w:pPr>
        <w:numPr>
          <w:ilvl w:val="0"/>
          <w:numId w:val="3"/>
        </w:numPr>
        <w:tabs>
          <w:tab w:val="clear" w:pos="720"/>
          <w:tab w:val="num" w:pos="364"/>
        </w:tabs>
        <w:suppressAutoHyphens w:val="0"/>
        <w:overflowPunct w:val="0"/>
        <w:autoSpaceDE w:val="0"/>
        <w:autoSpaceDN w:val="0"/>
        <w:adjustRightInd w:val="0"/>
        <w:spacing w:line="239" w:lineRule="auto"/>
        <w:ind w:left="364" w:hanging="364"/>
        <w:jc w:val="both"/>
        <w:rPr>
          <w:rFonts w:asciiTheme="majorHAnsi" w:hAnsiTheme="majorHAnsi"/>
          <w:b/>
          <w:bCs/>
        </w:rPr>
      </w:pPr>
      <w:r w:rsidRPr="00F824B6">
        <w:rPr>
          <w:rFonts w:asciiTheme="majorHAnsi" w:hAnsiTheme="majorHAnsi"/>
          <w:b/>
          <w:bCs/>
        </w:rPr>
        <w:t>Vođenje poslova turističke zajednice</w:t>
      </w:r>
    </w:p>
    <w:p w:rsidR="00821DA8" w:rsidRPr="00F824B6" w:rsidRDefault="00821DA8" w:rsidP="00F824B6">
      <w:pPr>
        <w:suppressAutoHyphens w:val="0"/>
        <w:overflowPunct w:val="0"/>
        <w:autoSpaceDE w:val="0"/>
        <w:autoSpaceDN w:val="0"/>
        <w:adjustRightInd w:val="0"/>
        <w:spacing w:line="239" w:lineRule="auto"/>
        <w:ind w:left="364"/>
        <w:jc w:val="both"/>
        <w:rPr>
          <w:rFonts w:asciiTheme="majorHAnsi" w:hAnsiTheme="majorHAnsi"/>
          <w:b/>
          <w:bCs/>
        </w:rPr>
      </w:pPr>
      <w:r w:rsidRPr="00F824B6">
        <w:rPr>
          <w:rFonts w:asciiTheme="majorHAnsi" w:hAnsiTheme="majorHAnsi"/>
          <w:b/>
          <w:bCs/>
        </w:rPr>
        <w:t xml:space="preserve"> </w:t>
      </w:r>
    </w:p>
    <w:p w:rsidR="00821DA8" w:rsidRPr="00F824B6" w:rsidRDefault="00821DA8" w:rsidP="00821DA8">
      <w:pPr>
        <w:autoSpaceDE w:val="0"/>
        <w:autoSpaceDN w:val="0"/>
        <w:adjustRightInd w:val="0"/>
        <w:spacing w:line="1" w:lineRule="exact"/>
        <w:rPr>
          <w:rFonts w:asciiTheme="majorHAnsi" w:hAnsiTheme="majorHAnsi"/>
          <w:b/>
          <w:bCs/>
        </w:rPr>
      </w:pPr>
    </w:p>
    <w:p w:rsidR="00821DA8" w:rsidRPr="00F824B6" w:rsidRDefault="00821DA8" w:rsidP="00821DA8">
      <w:pPr>
        <w:autoSpaceDE w:val="0"/>
        <w:autoSpaceDN w:val="0"/>
        <w:adjustRightInd w:val="0"/>
        <w:spacing w:line="1" w:lineRule="exact"/>
        <w:rPr>
          <w:rFonts w:asciiTheme="majorHAnsi" w:hAnsiTheme="majorHAnsi"/>
          <w:b/>
          <w:bCs/>
        </w:rPr>
      </w:pPr>
    </w:p>
    <w:p w:rsidR="00821DA8" w:rsidRPr="00F824B6" w:rsidRDefault="00821DA8" w:rsidP="00F824B6">
      <w:pPr>
        <w:overflowPunct w:val="0"/>
        <w:autoSpaceDE w:val="0"/>
        <w:autoSpaceDN w:val="0"/>
        <w:adjustRightInd w:val="0"/>
        <w:spacing w:line="238" w:lineRule="auto"/>
        <w:jc w:val="both"/>
        <w:rPr>
          <w:rFonts w:asciiTheme="majorHAnsi" w:hAnsiTheme="majorHAnsi"/>
          <w:b/>
          <w:bCs/>
        </w:rPr>
      </w:pPr>
      <w:r w:rsidRPr="00F824B6">
        <w:rPr>
          <w:rFonts w:asciiTheme="majorHAnsi" w:hAnsiTheme="majorHAnsi"/>
          <w:b/>
          <w:bCs/>
        </w:rPr>
        <w:t>2.1. Djeluje li turistička zajednica u skladu sa zakonima i aktima tu</w:t>
      </w:r>
      <w:r w:rsidR="00360714" w:rsidRPr="00F824B6">
        <w:rPr>
          <w:rFonts w:asciiTheme="majorHAnsi" w:hAnsiTheme="majorHAnsi"/>
          <w:b/>
          <w:bCs/>
        </w:rPr>
        <w:t>rističke zajednice te odlukama Skupštine i T</w:t>
      </w:r>
      <w:r w:rsidRPr="00F824B6">
        <w:rPr>
          <w:rFonts w:asciiTheme="majorHAnsi" w:hAnsiTheme="majorHAnsi"/>
          <w:b/>
          <w:bCs/>
        </w:rPr>
        <w:t>urističkog vijeća.</w:t>
      </w:r>
    </w:p>
    <w:p w:rsidR="00821DA8" w:rsidRPr="00F824B6" w:rsidRDefault="00821DA8" w:rsidP="00821DA8">
      <w:pPr>
        <w:overflowPunct w:val="0"/>
        <w:autoSpaceDE w:val="0"/>
        <w:autoSpaceDN w:val="0"/>
        <w:adjustRightInd w:val="0"/>
        <w:spacing w:line="238" w:lineRule="auto"/>
        <w:ind w:left="364"/>
        <w:jc w:val="both"/>
        <w:rPr>
          <w:rFonts w:asciiTheme="majorHAnsi" w:hAnsiTheme="majorHAnsi"/>
        </w:rPr>
      </w:pPr>
    </w:p>
    <w:p w:rsidR="00821DA8" w:rsidRPr="00F824B6" w:rsidRDefault="00821DA8" w:rsidP="00821DA8">
      <w:pPr>
        <w:autoSpaceDE w:val="0"/>
        <w:autoSpaceDN w:val="0"/>
        <w:adjustRightInd w:val="0"/>
        <w:spacing w:line="1" w:lineRule="exact"/>
        <w:rPr>
          <w:rFonts w:asciiTheme="majorHAnsi" w:hAnsiTheme="majorHAnsi"/>
        </w:rPr>
      </w:pPr>
    </w:p>
    <w:p w:rsidR="00FA0A38" w:rsidRPr="008937CF" w:rsidRDefault="00821DA8" w:rsidP="008937CF">
      <w:pPr>
        <w:pStyle w:val="ListParagraph"/>
        <w:widowControl/>
        <w:numPr>
          <w:ilvl w:val="0"/>
          <w:numId w:val="4"/>
        </w:numPr>
        <w:suppressAutoHyphens w:val="0"/>
        <w:jc w:val="both"/>
        <w:rPr>
          <w:rFonts w:asciiTheme="majorHAnsi" w:hAnsiTheme="majorHAnsi"/>
        </w:rPr>
      </w:pPr>
      <w:r w:rsidRPr="008937CF">
        <w:rPr>
          <w:rFonts w:asciiTheme="majorHAnsi" w:hAnsiTheme="majorHAnsi"/>
        </w:rPr>
        <w:t>U prvih šest mjeseci 201</w:t>
      </w:r>
      <w:r w:rsidR="008937CF" w:rsidRPr="008937CF">
        <w:rPr>
          <w:rFonts w:asciiTheme="majorHAnsi" w:hAnsiTheme="majorHAnsi"/>
        </w:rPr>
        <w:t>5</w:t>
      </w:r>
      <w:r w:rsidRPr="008937CF">
        <w:rPr>
          <w:rFonts w:asciiTheme="majorHAnsi" w:hAnsiTheme="majorHAnsi"/>
        </w:rPr>
        <w:t xml:space="preserve">. godine održane su dvije sjednice Turističkog vijeća, u veljači i u </w:t>
      </w:r>
      <w:r w:rsidR="008937CF" w:rsidRPr="008937CF">
        <w:rPr>
          <w:rFonts w:asciiTheme="majorHAnsi" w:hAnsiTheme="majorHAnsi"/>
        </w:rPr>
        <w:t xml:space="preserve">lipnju. </w:t>
      </w:r>
      <w:r w:rsidRPr="008937CF">
        <w:rPr>
          <w:rFonts w:asciiTheme="majorHAnsi" w:hAnsiTheme="majorHAnsi"/>
        </w:rPr>
        <w:t>4.</w:t>
      </w:r>
      <w:r w:rsidR="00360714" w:rsidRPr="008937CF">
        <w:rPr>
          <w:rFonts w:asciiTheme="majorHAnsi" w:hAnsiTheme="majorHAnsi"/>
        </w:rPr>
        <w:t xml:space="preserve"> </w:t>
      </w:r>
      <w:r w:rsidRPr="008937CF">
        <w:rPr>
          <w:rFonts w:asciiTheme="majorHAnsi" w:hAnsiTheme="majorHAnsi"/>
        </w:rPr>
        <w:t>sjednica TV održana je 2</w:t>
      </w:r>
      <w:r w:rsidR="008937CF" w:rsidRPr="008937CF">
        <w:rPr>
          <w:rFonts w:asciiTheme="majorHAnsi" w:hAnsiTheme="majorHAnsi"/>
        </w:rPr>
        <w:t>6</w:t>
      </w:r>
      <w:r w:rsidRPr="008937CF">
        <w:rPr>
          <w:rFonts w:asciiTheme="majorHAnsi" w:hAnsiTheme="majorHAnsi"/>
        </w:rPr>
        <w:t>. veljače 201</w:t>
      </w:r>
      <w:r w:rsidR="008937CF" w:rsidRPr="008937CF">
        <w:rPr>
          <w:rFonts w:asciiTheme="majorHAnsi" w:hAnsiTheme="majorHAnsi"/>
        </w:rPr>
        <w:t>5</w:t>
      </w:r>
      <w:r w:rsidRPr="008937CF">
        <w:rPr>
          <w:rFonts w:asciiTheme="majorHAnsi" w:hAnsiTheme="majorHAnsi"/>
        </w:rPr>
        <w:t>.</w:t>
      </w:r>
      <w:r w:rsidR="00641D19" w:rsidRPr="008937CF">
        <w:rPr>
          <w:rFonts w:asciiTheme="majorHAnsi" w:hAnsiTheme="majorHAnsi"/>
        </w:rPr>
        <w:t xml:space="preserve"> godine,</w:t>
      </w:r>
      <w:r w:rsidRPr="008937CF">
        <w:rPr>
          <w:rFonts w:asciiTheme="majorHAnsi" w:hAnsiTheme="majorHAnsi"/>
        </w:rPr>
        <w:t xml:space="preserve"> </w:t>
      </w:r>
      <w:r w:rsidR="00FA0A38" w:rsidRPr="008937CF">
        <w:rPr>
          <w:rFonts w:asciiTheme="majorHAnsi" w:hAnsiTheme="majorHAnsi"/>
        </w:rPr>
        <w:t>na kojoj je Turističko vijeće usvojilo Izvješće o radu direktora i Turističke zajednice za 201</w:t>
      </w:r>
      <w:r w:rsidR="008937CF" w:rsidRPr="008937CF">
        <w:rPr>
          <w:rFonts w:asciiTheme="majorHAnsi" w:hAnsiTheme="majorHAnsi"/>
        </w:rPr>
        <w:t>4</w:t>
      </w:r>
      <w:r w:rsidR="00FA0A38" w:rsidRPr="008937CF">
        <w:rPr>
          <w:rFonts w:asciiTheme="majorHAnsi" w:hAnsiTheme="majorHAnsi"/>
        </w:rPr>
        <w:t>.</w:t>
      </w:r>
      <w:r w:rsidR="008937CF" w:rsidRPr="008937CF">
        <w:rPr>
          <w:rFonts w:asciiTheme="majorHAnsi" w:hAnsiTheme="majorHAnsi"/>
        </w:rPr>
        <w:t xml:space="preserve"> godinu, Izvješće o ralizaciji P</w:t>
      </w:r>
      <w:r w:rsidR="00FA0A38" w:rsidRPr="008937CF">
        <w:rPr>
          <w:rFonts w:asciiTheme="majorHAnsi" w:hAnsiTheme="majorHAnsi"/>
        </w:rPr>
        <w:t>lana</w:t>
      </w:r>
      <w:r w:rsidR="008937CF" w:rsidRPr="008937CF">
        <w:rPr>
          <w:rFonts w:asciiTheme="majorHAnsi" w:hAnsiTheme="majorHAnsi"/>
        </w:rPr>
        <w:t xml:space="preserve"> rada</w:t>
      </w:r>
      <w:r w:rsidR="00FA0A38" w:rsidRPr="008937CF">
        <w:rPr>
          <w:rFonts w:asciiTheme="majorHAnsi" w:hAnsiTheme="majorHAnsi"/>
        </w:rPr>
        <w:t xml:space="preserve"> i Financijsko izvješće Turističke zajednice grada Vukovara za 201</w:t>
      </w:r>
      <w:r w:rsidR="008937CF" w:rsidRPr="008937CF">
        <w:rPr>
          <w:rFonts w:asciiTheme="majorHAnsi" w:hAnsiTheme="majorHAnsi"/>
        </w:rPr>
        <w:t>4</w:t>
      </w:r>
      <w:r w:rsidR="00FA0A38" w:rsidRPr="008937CF">
        <w:rPr>
          <w:rFonts w:asciiTheme="majorHAnsi" w:hAnsiTheme="majorHAnsi"/>
        </w:rPr>
        <w:t xml:space="preserve">. </w:t>
      </w:r>
      <w:r w:rsidR="008937CF" w:rsidRPr="008937CF">
        <w:rPr>
          <w:rFonts w:asciiTheme="majorHAnsi" w:hAnsiTheme="majorHAnsi"/>
        </w:rPr>
        <w:t>g</w:t>
      </w:r>
      <w:r w:rsidR="00FA0A38" w:rsidRPr="008937CF">
        <w:rPr>
          <w:rFonts w:asciiTheme="majorHAnsi" w:hAnsiTheme="majorHAnsi"/>
        </w:rPr>
        <w:t>odinu</w:t>
      </w:r>
      <w:r w:rsidR="008937CF" w:rsidRPr="008937CF">
        <w:rPr>
          <w:rFonts w:asciiTheme="majorHAnsi" w:hAnsiTheme="majorHAnsi"/>
        </w:rPr>
        <w:t>.</w:t>
      </w:r>
      <w:r w:rsidR="00FA0A38" w:rsidRPr="008937CF">
        <w:rPr>
          <w:rFonts w:asciiTheme="majorHAnsi" w:hAnsiTheme="majorHAnsi"/>
        </w:rPr>
        <w:t xml:space="preserve"> Izvješća su usvojena u zakonskom roku te podnesena Skupštini na usvajanje.</w:t>
      </w:r>
    </w:p>
    <w:p w:rsidR="00821DA8" w:rsidRPr="00F824B6" w:rsidRDefault="00821DA8" w:rsidP="00821DA8">
      <w:pPr>
        <w:widowControl/>
        <w:suppressAutoHyphens w:val="0"/>
        <w:ind w:left="720"/>
        <w:jc w:val="both"/>
        <w:rPr>
          <w:rFonts w:asciiTheme="majorHAnsi" w:hAnsiTheme="majorHAnsi"/>
        </w:rPr>
      </w:pPr>
    </w:p>
    <w:p w:rsidR="008937CF" w:rsidRDefault="00821DA8" w:rsidP="008937CF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8937CF">
        <w:rPr>
          <w:rFonts w:asciiTheme="majorHAnsi" w:hAnsiTheme="majorHAnsi"/>
        </w:rPr>
        <w:t>Dana 0</w:t>
      </w:r>
      <w:r w:rsidR="008937CF" w:rsidRPr="008937CF">
        <w:rPr>
          <w:rFonts w:asciiTheme="majorHAnsi" w:hAnsiTheme="majorHAnsi"/>
        </w:rPr>
        <w:t>3</w:t>
      </w:r>
      <w:r w:rsidRPr="008937CF">
        <w:rPr>
          <w:rFonts w:asciiTheme="majorHAnsi" w:hAnsiTheme="majorHAnsi"/>
        </w:rPr>
        <w:t xml:space="preserve">. </w:t>
      </w:r>
      <w:r w:rsidR="008937CF" w:rsidRPr="008937CF">
        <w:rPr>
          <w:rFonts w:asciiTheme="majorHAnsi" w:hAnsiTheme="majorHAnsi"/>
        </w:rPr>
        <w:t>lipnja</w:t>
      </w:r>
      <w:r w:rsidRPr="008937CF">
        <w:rPr>
          <w:rFonts w:asciiTheme="majorHAnsi" w:hAnsiTheme="majorHAnsi"/>
        </w:rPr>
        <w:t xml:space="preserve"> 201</w:t>
      </w:r>
      <w:r w:rsidR="008937CF" w:rsidRPr="008937CF">
        <w:rPr>
          <w:rFonts w:asciiTheme="majorHAnsi" w:hAnsiTheme="majorHAnsi"/>
        </w:rPr>
        <w:t>5</w:t>
      </w:r>
      <w:r w:rsidRPr="008937CF">
        <w:rPr>
          <w:rFonts w:asciiTheme="majorHAnsi" w:hAnsiTheme="majorHAnsi"/>
        </w:rPr>
        <w:t>.</w:t>
      </w:r>
      <w:r w:rsidR="00641D19" w:rsidRPr="008937CF">
        <w:rPr>
          <w:rFonts w:asciiTheme="majorHAnsi" w:hAnsiTheme="majorHAnsi"/>
        </w:rPr>
        <w:t xml:space="preserve"> </w:t>
      </w:r>
      <w:r w:rsidR="008937CF" w:rsidRPr="008937CF">
        <w:rPr>
          <w:rFonts w:asciiTheme="majorHAnsi" w:hAnsiTheme="majorHAnsi"/>
        </w:rPr>
        <w:t xml:space="preserve">g. održana je </w:t>
      </w:r>
      <w:r w:rsidRPr="008937CF">
        <w:rPr>
          <w:rFonts w:asciiTheme="majorHAnsi" w:hAnsiTheme="majorHAnsi"/>
        </w:rPr>
        <w:t>5. sjednica Turističkog vijeća</w:t>
      </w:r>
      <w:r w:rsidR="008937CF" w:rsidRPr="008937CF">
        <w:rPr>
          <w:rFonts w:asciiTheme="majorHAnsi" w:hAnsiTheme="majorHAnsi"/>
        </w:rPr>
        <w:t>.</w:t>
      </w:r>
      <w:r w:rsidRPr="008937CF">
        <w:rPr>
          <w:rFonts w:asciiTheme="majorHAnsi" w:hAnsiTheme="majorHAnsi"/>
        </w:rPr>
        <w:t xml:space="preserve"> </w:t>
      </w:r>
      <w:r w:rsidR="008937CF" w:rsidRPr="008937CF">
        <w:rPr>
          <w:rFonts w:asciiTheme="majorHAnsi" w:hAnsiTheme="majorHAnsi"/>
        </w:rPr>
        <w:t xml:space="preserve">Zbog vremenskog roka i hitnosti donošenja odluke o osnivanju PPS kluba nije bilo vremena za sazivanje Turističkog vijeća, te je 5. sjednica Turističkog vijeća, uz suglasnost </w:t>
      </w:r>
      <w:r w:rsidR="008937CF" w:rsidRPr="008937CF">
        <w:rPr>
          <w:rFonts w:asciiTheme="majorHAnsi" w:hAnsiTheme="majorHAnsi"/>
        </w:rPr>
        <w:lastRenderedPageBreak/>
        <w:t>predsjednika TZ-a, g. Ivana Penave,  realizirana telefonskim putem. Na sjednici je donešene odluka o osnivanju PPS kluba.</w:t>
      </w:r>
    </w:p>
    <w:p w:rsidR="008937CF" w:rsidRPr="008937CF" w:rsidRDefault="008937CF" w:rsidP="008937CF">
      <w:pPr>
        <w:pStyle w:val="ListParagraph"/>
        <w:rPr>
          <w:rFonts w:asciiTheme="majorHAnsi" w:hAnsiTheme="majorHAnsi"/>
        </w:rPr>
      </w:pPr>
    </w:p>
    <w:p w:rsidR="00512582" w:rsidRPr="00F824B6" w:rsidRDefault="00821DA8" w:rsidP="00512582">
      <w:pPr>
        <w:pStyle w:val="ListParagraph"/>
        <w:widowControl/>
        <w:numPr>
          <w:ilvl w:val="0"/>
          <w:numId w:val="4"/>
        </w:numPr>
        <w:suppressAutoHyphens w:val="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U nadziranom periodu, održana je jedna sjednica Skupštine,  </w:t>
      </w:r>
      <w:r w:rsidR="008937CF">
        <w:rPr>
          <w:rFonts w:asciiTheme="majorHAnsi" w:hAnsiTheme="majorHAnsi"/>
        </w:rPr>
        <w:t>30</w:t>
      </w:r>
      <w:r w:rsidR="005E00FC" w:rsidRPr="00F824B6">
        <w:rPr>
          <w:rFonts w:asciiTheme="majorHAnsi" w:hAnsiTheme="majorHAnsi"/>
        </w:rPr>
        <w:t>. ožujka</w:t>
      </w:r>
      <w:r w:rsidRPr="00F824B6">
        <w:rPr>
          <w:rFonts w:asciiTheme="majorHAnsi" w:hAnsiTheme="majorHAnsi"/>
        </w:rPr>
        <w:t xml:space="preserve"> 201</w:t>
      </w:r>
      <w:r w:rsidR="008937CF">
        <w:rPr>
          <w:rFonts w:asciiTheme="majorHAnsi" w:hAnsiTheme="majorHAnsi"/>
        </w:rPr>
        <w:t>5</w:t>
      </w:r>
      <w:r w:rsidRPr="00F824B6">
        <w:rPr>
          <w:rFonts w:asciiTheme="majorHAnsi" w:hAnsiTheme="majorHAnsi"/>
        </w:rPr>
        <w:t>.</w:t>
      </w:r>
      <w:r w:rsidR="008937CF"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>g.</w:t>
      </w:r>
      <w:r w:rsidR="005E00FC" w:rsidRPr="00F824B6">
        <w:rPr>
          <w:rFonts w:asciiTheme="majorHAnsi" w:hAnsiTheme="majorHAnsi"/>
        </w:rPr>
        <w:t xml:space="preserve"> na kojoj je usvojen</w:t>
      </w:r>
      <w:r w:rsidR="008937CF">
        <w:rPr>
          <w:rFonts w:asciiTheme="majorHAnsi" w:hAnsiTheme="majorHAnsi"/>
        </w:rPr>
        <w:t>o</w:t>
      </w:r>
      <w:r w:rsidR="00512582" w:rsidRPr="00F824B6">
        <w:rPr>
          <w:rFonts w:asciiTheme="majorHAnsi" w:hAnsiTheme="majorHAnsi"/>
        </w:rPr>
        <w:t xml:space="preserve"> Izvješće o radu direktora i Turističke zajednice za 201</w:t>
      </w:r>
      <w:r w:rsidR="008937CF">
        <w:rPr>
          <w:rFonts w:asciiTheme="majorHAnsi" w:hAnsiTheme="majorHAnsi"/>
        </w:rPr>
        <w:t>4</w:t>
      </w:r>
      <w:r w:rsidR="00512582" w:rsidRPr="00F824B6">
        <w:rPr>
          <w:rFonts w:asciiTheme="majorHAnsi" w:hAnsiTheme="majorHAnsi"/>
        </w:rPr>
        <w:t>.</w:t>
      </w:r>
      <w:r w:rsidR="008937CF">
        <w:rPr>
          <w:rFonts w:asciiTheme="majorHAnsi" w:hAnsiTheme="majorHAnsi"/>
        </w:rPr>
        <w:t xml:space="preserve"> godinu, Izvješće o ralizaciji P</w:t>
      </w:r>
      <w:r w:rsidR="00512582" w:rsidRPr="00F824B6">
        <w:rPr>
          <w:rFonts w:asciiTheme="majorHAnsi" w:hAnsiTheme="majorHAnsi"/>
        </w:rPr>
        <w:t>lana</w:t>
      </w:r>
      <w:r w:rsidR="008937CF">
        <w:rPr>
          <w:rFonts w:asciiTheme="majorHAnsi" w:hAnsiTheme="majorHAnsi"/>
        </w:rPr>
        <w:t xml:space="preserve"> rada</w:t>
      </w:r>
      <w:r w:rsidR="00512582" w:rsidRPr="00F824B6">
        <w:rPr>
          <w:rFonts w:asciiTheme="majorHAnsi" w:hAnsiTheme="majorHAnsi"/>
        </w:rPr>
        <w:t xml:space="preserve"> i Financijsko izvješće Turističke zajednice grada Vukovara za 201</w:t>
      </w:r>
      <w:r w:rsidR="008937CF">
        <w:rPr>
          <w:rFonts w:asciiTheme="majorHAnsi" w:hAnsiTheme="majorHAnsi"/>
        </w:rPr>
        <w:t>4</w:t>
      </w:r>
      <w:r w:rsidR="00512582" w:rsidRPr="00F824B6">
        <w:rPr>
          <w:rFonts w:asciiTheme="majorHAnsi" w:hAnsiTheme="majorHAnsi"/>
        </w:rPr>
        <w:t xml:space="preserve">. godinu te Izvješće </w:t>
      </w:r>
      <w:r w:rsidR="00512582" w:rsidRPr="00F824B6">
        <w:rPr>
          <w:rFonts w:asciiTheme="majorHAnsi" w:hAnsiTheme="majorHAnsi" w:cs="Calibri"/>
        </w:rPr>
        <w:t>o radu Turističkog vijeća u 201</w:t>
      </w:r>
      <w:r w:rsidR="008937CF">
        <w:rPr>
          <w:rFonts w:asciiTheme="majorHAnsi" w:hAnsiTheme="majorHAnsi" w:cs="Calibri"/>
        </w:rPr>
        <w:t>4</w:t>
      </w:r>
      <w:r w:rsidR="00512582" w:rsidRPr="00F824B6">
        <w:rPr>
          <w:rFonts w:asciiTheme="majorHAnsi" w:hAnsiTheme="majorHAnsi" w:cs="Calibri"/>
        </w:rPr>
        <w:t>. godini.</w:t>
      </w:r>
    </w:p>
    <w:p w:rsidR="00821DA8" w:rsidRPr="00F824B6" w:rsidRDefault="00821DA8" w:rsidP="00C84A02">
      <w:pPr>
        <w:widowControl/>
        <w:suppressAutoHyphens w:val="0"/>
        <w:ind w:left="720"/>
        <w:jc w:val="both"/>
        <w:rPr>
          <w:rFonts w:asciiTheme="majorHAnsi" w:hAnsiTheme="majorHAnsi"/>
        </w:rPr>
      </w:pPr>
    </w:p>
    <w:p w:rsidR="00821DA8" w:rsidRPr="00F824B6" w:rsidRDefault="00821DA8" w:rsidP="00821DA8">
      <w:pPr>
        <w:widowControl/>
        <w:numPr>
          <w:ilvl w:val="0"/>
          <w:numId w:val="4"/>
        </w:numPr>
        <w:suppressAutoHyphens w:val="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Nadzorni odbor uvidom u aktivnosti tijela TZ grada Vukovara utvrđuje da ista izvršavaju sve poslove definirane Zakonom i Statutom TZ grada Vukovara</w:t>
      </w:r>
    </w:p>
    <w:p w:rsidR="00C84A02" w:rsidRPr="00F824B6" w:rsidRDefault="00C84A02" w:rsidP="00C84A02">
      <w:pPr>
        <w:pStyle w:val="ListParagraph"/>
        <w:rPr>
          <w:rFonts w:asciiTheme="majorHAnsi" w:hAnsiTheme="majorHAnsi"/>
        </w:rPr>
      </w:pPr>
    </w:p>
    <w:p w:rsidR="00821DA8" w:rsidRPr="00F824B6" w:rsidRDefault="00821DA8" w:rsidP="00821DA8">
      <w:pPr>
        <w:widowControl/>
        <w:numPr>
          <w:ilvl w:val="0"/>
          <w:numId w:val="4"/>
        </w:numPr>
        <w:suppressAutoHyphens w:val="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Sva tijela TZ grada Vukovara rade prema usvojenim Poslovnicima - Poslovnik rada Skupštine TZ grada Vukovara i Poslovnik rada Turističkog vijeća,</w:t>
      </w:r>
    </w:p>
    <w:p w:rsidR="00C84A02" w:rsidRPr="00F824B6" w:rsidRDefault="00C84A02" w:rsidP="00C84A02">
      <w:pPr>
        <w:widowControl/>
        <w:suppressAutoHyphens w:val="0"/>
        <w:jc w:val="both"/>
        <w:rPr>
          <w:rFonts w:asciiTheme="majorHAnsi" w:hAnsiTheme="majorHAnsi"/>
        </w:rPr>
      </w:pPr>
    </w:p>
    <w:p w:rsidR="00821DA8" w:rsidRPr="00F824B6" w:rsidRDefault="00821DA8" w:rsidP="00821DA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17" w:lineRule="auto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Nadzorni odbor utvrđuje da TZ grada Vukovara djeluje u skladu sa odlukama Skupštine i Turističkog vijeća te prema naputcima Nadzornog odbora</w:t>
      </w:r>
    </w:p>
    <w:p w:rsidR="00C84A02" w:rsidRPr="00F824B6" w:rsidRDefault="00C84A02" w:rsidP="00C84A02">
      <w:pPr>
        <w:pStyle w:val="ListParagraph"/>
        <w:rPr>
          <w:rFonts w:asciiTheme="majorHAnsi" w:hAnsiTheme="majorHAnsi"/>
        </w:rPr>
      </w:pPr>
    </w:p>
    <w:p w:rsidR="00821DA8" w:rsidRPr="00F824B6" w:rsidRDefault="00821DA8" w:rsidP="00F824B6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TZ grada Vukovara u prvih 6 mjeseci 201</w:t>
      </w:r>
      <w:r w:rsidR="008937CF">
        <w:rPr>
          <w:rFonts w:asciiTheme="majorHAnsi" w:hAnsiTheme="majorHAnsi"/>
        </w:rPr>
        <w:t>5</w:t>
      </w:r>
      <w:r w:rsidRPr="00F824B6">
        <w:rPr>
          <w:rFonts w:asciiTheme="majorHAnsi" w:hAnsiTheme="majorHAnsi"/>
        </w:rPr>
        <w:t>. godine radila je prema  Programu rada i Financijskom planu TZ grada Vukovara za 201</w:t>
      </w:r>
      <w:r w:rsidR="008937CF">
        <w:rPr>
          <w:rFonts w:asciiTheme="majorHAnsi" w:hAnsiTheme="majorHAnsi"/>
        </w:rPr>
        <w:t>5</w:t>
      </w:r>
      <w:r w:rsidRPr="00F824B6">
        <w:rPr>
          <w:rFonts w:asciiTheme="majorHAnsi" w:hAnsiTheme="majorHAnsi"/>
        </w:rPr>
        <w:t>. godinu koji je donesen u skladu sa Zakonom i standardima u sustavu turističkih zajednica te usvoje</w:t>
      </w:r>
      <w:r w:rsidR="009A3692">
        <w:rPr>
          <w:rFonts w:asciiTheme="majorHAnsi" w:hAnsiTheme="majorHAnsi"/>
        </w:rPr>
        <w:t xml:space="preserve">n na </w:t>
      </w:r>
      <w:r w:rsidR="00801407" w:rsidRPr="00F824B6">
        <w:rPr>
          <w:rFonts w:asciiTheme="majorHAnsi" w:hAnsiTheme="majorHAnsi"/>
        </w:rPr>
        <w:t>2.</w:t>
      </w:r>
      <w:r w:rsidRPr="00F824B6">
        <w:rPr>
          <w:rFonts w:asciiTheme="majorHAnsi" w:hAnsiTheme="majorHAnsi"/>
        </w:rPr>
        <w:t xml:space="preserve"> sjednici </w:t>
      </w:r>
      <w:r w:rsidR="009A3692">
        <w:rPr>
          <w:rFonts w:asciiTheme="majorHAnsi" w:hAnsiTheme="majorHAnsi"/>
        </w:rPr>
        <w:t>Skupštine</w:t>
      </w:r>
      <w:r w:rsidR="00801407" w:rsidRPr="00F824B6">
        <w:rPr>
          <w:rFonts w:asciiTheme="majorHAnsi" w:hAnsiTheme="majorHAnsi"/>
        </w:rPr>
        <w:t xml:space="preserve"> </w:t>
      </w:r>
      <w:r w:rsidR="00512582" w:rsidRPr="00F824B6">
        <w:rPr>
          <w:rFonts w:asciiTheme="majorHAnsi" w:hAnsiTheme="majorHAnsi"/>
        </w:rPr>
        <w:t xml:space="preserve">održanoj </w:t>
      </w:r>
      <w:r w:rsidR="009A3692">
        <w:rPr>
          <w:rFonts w:asciiTheme="majorHAnsi" w:hAnsiTheme="majorHAnsi"/>
        </w:rPr>
        <w:t>19</w:t>
      </w:r>
      <w:r w:rsidR="00512582" w:rsidRPr="00F824B6">
        <w:rPr>
          <w:rFonts w:asciiTheme="majorHAnsi" w:hAnsiTheme="majorHAnsi"/>
        </w:rPr>
        <w:t>.</w:t>
      </w:r>
      <w:r w:rsidR="00641D19">
        <w:rPr>
          <w:rFonts w:asciiTheme="majorHAnsi" w:hAnsiTheme="majorHAnsi"/>
        </w:rPr>
        <w:t xml:space="preserve"> </w:t>
      </w:r>
      <w:r w:rsidR="009A3692">
        <w:rPr>
          <w:rFonts w:asciiTheme="majorHAnsi" w:hAnsiTheme="majorHAnsi"/>
        </w:rPr>
        <w:t>prosinca</w:t>
      </w:r>
      <w:r w:rsidR="00801407" w:rsidRPr="00F824B6"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>201</w:t>
      </w:r>
      <w:r w:rsidR="009A3692">
        <w:rPr>
          <w:rFonts w:asciiTheme="majorHAnsi" w:hAnsiTheme="majorHAnsi"/>
        </w:rPr>
        <w:t>4</w:t>
      </w:r>
      <w:r w:rsidRPr="00F824B6">
        <w:rPr>
          <w:rFonts w:asciiTheme="majorHAnsi" w:hAnsiTheme="majorHAnsi"/>
        </w:rPr>
        <w:t>.</w:t>
      </w:r>
      <w:r w:rsidR="00641D19"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>g</w:t>
      </w:r>
      <w:r w:rsidR="00641D19">
        <w:rPr>
          <w:rFonts w:asciiTheme="majorHAnsi" w:hAnsiTheme="majorHAnsi"/>
        </w:rPr>
        <w:t>odine</w:t>
      </w:r>
      <w:r w:rsidRPr="00F824B6">
        <w:rPr>
          <w:rFonts w:asciiTheme="majorHAnsi" w:hAnsiTheme="majorHAnsi"/>
        </w:rPr>
        <w:t xml:space="preserve">, a temeljem prijedloga Turističkog vijeća usvojenog na </w:t>
      </w:r>
      <w:r w:rsidR="009A3692">
        <w:rPr>
          <w:rFonts w:asciiTheme="majorHAnsi" w:hAnsiTheme="majorHAnsi"/>
        </w:rPr>
        <w:t>2</w:t>
      </w:r>
      <w:r w:rsidRPr="00F824B6">
        <w:rPr>
          <w:rFonts w:asciiTheme="majorHAnsi" w:hAnsiTheme="majorHAnsi"/>
        </w:rPr>
        <w:t xml:space="preserve">. sjednici Turističkog vijeća održanoj </w:t>
      </w:r>
      <w:r w:rsidR="009A3692">
        <w:rPr>
          <w:rFonts w:asciiTheme="majorHAnsi" w:hAnsiTheme="majorHAnsi"/>
        </w:rPr>
        <w:t>30</w:t>
      </w:r>
      <w:r w:rsidRPr="00F824B6">
        <w:rPr>
          <w:rFonts w:asciiTheme="majorHAnsi" w:hAnsiTheme="majorHAnsi"/>
        </w:rPr>
        <w:t>. listopada 201</w:t>
      </w:r>
      <w:r w:rsidR="009A3692">
        <w:rPr>
          <w:rFonts w:asciiTheme="majorHAnsi" w:hAnsiTheme="majorHAnsi"/>
        </w:rPr>
        <w:t>4</w:t>
      </w:r>
      <w:r w:rsidRPr="00F824B6">
        <w:rPr>
          <w:rFonts w:asciiTheme="majorHAnsi" w:hAnsiTheme="majorHAnsi"/>
        </w:rPr>
        <w:t>. godine.</w:t>
      </w:r>
    </w:p>
    <w:p w:rsidR="00512582" w:rsidRPr="00F824B6" w:rsidRDefault="00512582" w:rsidP="00F824B6">
      <w:pPr>
        <w:pStyle w:val="ListParagraph"/>
        <w:rPr>
          <w:rFonts w:asciiTheme="majorHAnsi" w:hAnsiTheme="majorHAnsi"/>
        </w:rPr>
      </w:pPr>
    </w:p>
    <w:p w:rsidR="00F824B6" w:rsidRPr="00361A4F" w:rsidRDefault="00821DA8" w:rsidP="00361A4F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724" w:hanging="364"/>
        <w:jc w:val="both"/>
        <w:rPr>
          <w:rFonts w:asciiTheme="majorHAnsi" w:hAnsiTheme="majorHAnsi" w:cs="Garamond"/>
        </w:rPr>
      </w:pPr>
      <w:r w:rsidRPr="00F824B6">
        <w:rPr>
          <w:rFonts w:asciiTheme="majorHAnsi" w:hAnsiTheme="majorHAnsi"/>
        </w:rPr>
        <w:t xml:space="preserve">Slijedom obavljenog nadzora, Nadzorni odbor zaključuje da TZ grada djeluje u skladu sa odlukama Skupštine i Turističkog vijeća i da </w:t>
      </w:r>
      <w:r w:rsidR="00801407" w:rsidRPr="00F824B6">
        <w:rPr>
          <w:rFonts w:asciiTheme="majorHAnsi" w:hAnsiTheme="majorHAnsi"/>
        </w:rPr>
        <w:t>s</w:t>
      </w:r>
      <w:r w:rsidR="00361A4F">
        <w:rPr>
          <w:rFonts w:asciiTheme="majorHAnsi" w:hAnsiTheme="majorHAnsi"/>
        </w:rPr>
        <w:t>u se poštivali zakonski rokovi.</w:t>
      </w:r>
    </w:p>
    <w:p w:rsidR="00361A4F" w:rsidRDefault="00361A4F" w:rsidP="00361A4F">
      <w:pPr>
        <w:pStyle w:val="ListParagraph"/>
        <w:rPr>
          <w:rFonts w:asciiTheme="majorHAnsi" w:hAnsiTheme="majorHAnsi" w:cs="Garamond"/>
        </w:rPr>
      </w:pPr>
    </w:p>
    <w:p w:rsidR="00F824B6" w:rsidRDefault="00821DA8" w:rsidP="00F824B6">
      <w:pPr>
        <w:numPr>
          <w:ilvl w:val="0"/>
          <w:numId w:val="3"/>
        </w:numPr>
        <w:tabs>
          <w:tab w:val="clear" w:pos="72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39" w:lineRule="auto"/>
        <w:ind w:hanging="720"/>
        <w:jc w:val="both"/>
        <w:rPr>
          <w:rFonts w:asciiTheme="majorHAnsi" w:hAnsiTheme="majorHAnsi" w:cs="Garamond"/>
          <w:b/>
          <w:bCs/>
        </w:rPr>
      </w:pPr>
      <w:r w:rsidRPr="00F824B6">
        <w:rPr>
          <w:rFonts w:asciiTheme="majorHAnsi" w:hAnsiTheme="majorHAnsi" w:cs="Garamond"/>
          <w:b/>
          <w:bCs/>
        </w:rPr>
        <w:t>Materijalno i financijsko poslovanje i ras</w:t>
      </w:r>
      <w:r w:rsidR="00F824B6">
        <w:rPr>
          <w:rFonts w:asciiTheme="majorHAnsi" w:hAnsiTheme="majorHAnsi" w:cs="Garamond"/>
          <w:b/>
          <w:bCs/>
        </w:rPr>
        <w:t>polaganje sredstvima turističke</w:t>
      </w:r>
    </w:p>
    <w:p w:rsidR="00821DA8" w:rsidRPr="00F824B6" w:rsidRDefault="00F824B6" w:rsidP="00F824B6">
      <w:pPr>
        <w:suppressAutoHyphens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Theme="majorHAnsi" w:hAnsiTheme="majorHAnsi" w:cs="Garamond"/>
          <w:b/>
          <w:bCs/>
        </w:rPr>
      </w:pPr>
      <w:r>
        <w:rPr>
          <w:rFonts w:asciiTheme="majorHAnsi" w:hAnsiTheme="majorHAnsi" w:cs="Garamond"/>
          <w:b/>
          <w:bCs/>
        </w:rPr>
        <w:t xml:space="preserve">       </w:t>
      </w:r>
      <w:r w:rsidR="00821DA8" w:rsidRPr="00F824B6">
        <w:rPr>
          <w:rFonts w:asciiTheme="majorHAnsi" w:hAnsiTheme="majorHAnsi" w:cs="Garamond"/>
          <w:b/>
          <w:bCs/>
        </w:rPr>
        <w:t xml:space="preserve">zajednice i podružnica </w:t>
      </w:r>
    </w:p>
    <w:p w:rsidR="00801407" w:rsidRPr="00F824B6" w:rsidRDefault="00801407" w:rsidP="00801407">
      <w:pPr>
        <w:suppressAutoHyphens w:val="0"/>
        <w:overflowPunct w:val="0"/>
        <w:autoSpaceDE w:val="0"/>
        <w:autoSpaceDN w:val="0"/>
        <w:adjustRightInd w:val="0"/>
        <w:spacing w:line="239" w:lineRule="auto"/>
        <w:ind w:left="720"/>
        <w:jc w:val="both"/>
        <w:rPr>
          <w:rFonts w:asciiTheme="majorHAnsi" w:hAnsiTheme="majorHAnsi" w:cs="Garamond"/>
          <w:b/>
          <w:bCs/>
        </w:rPr>
      </w:pPr>
    </w:p>
    <w:p w:rsidR="00821DA8" w:rsidRPr="00F824B6" w:rsidRDefault="00821DA8" w:rsidP="00821DA8">
      <w:pPr>
        <w:autoSpaceDE w:val="0"/>
        <w:autoSpaceDN w:val="0"/>
        <w:adjustRightInd w:val="0"/>
        <w:spacing w:line="1" w:lineRule="exact"/>
        <w:rPr>
          <w:rFonts w:asciiTheme="majorHAnsi" w:hAnsiTheme="majorHAnsi" w:cs="Garamond"/>
          <w:b/>
          <w:bCs/>
        </w:rPr>
      </w:pPr>
    </w:p>
    <w:p w:rsidR="00821DA8" w:rsidRPr="00F824B6" w:rsidRDefault="00821DA8" w:rsidP="00F824B6">
      <w:pPr>
        <w:overflowPunct w:val="0"/>
        <w:autoSpaceDE w:val="0"/>
        <w:autoSpaceDN w:val="0"/>
        <w:adjustRightInd w:val="0"/>
        <w:spacing w:line="239" w:lineRule="auto"/>
        <w:jc w:val="both"/>
        <w:rPr>
          <w:rFonts w:asciiTheme="majorHAnsi" w:hAnsiTheme="majorHAnsi" w:cs="Garamond"/>
          <w:b/>
          <w:bCs/>
        </w:rPr>
      </w:pPr>
      <w:r w:rsidRPr="00F824B6">
        <w:rPr>
          <w:rFonts w:asciiTheme="majorHAnsi" w:hAnsiTheme="majorHAnsi" w:cs="Garamond"/>
          <w:b/>
          <w:bCs/>
        </w:rPr>
        <w:t>3.1. Usklađenost financijskog izvješća za razdoblje siječanj - lipanj 201</w:t>
      </w:r>
      <w:r w:rsidR="009A3692">
        <w:rPr>
          <w:rFonts w:asciiTheme="majorHAnsi" w:hAnsiTheme="majorHAnsi" w:cs="Garamond"/>
          <w:b/>
          <w:bCs/>
        </w:rPr>
        <w:t>5</w:t>
      </w:r>
      <w:r w:rsidRPr="00F824B6">
        <w:rPr>
          <w:rFonts w:asciiTheme="majorHAnsi" w:hAnsiTheme="majorHAnsi" w:cs="Garamond"/>
          <w:b/>
          <w:bCs/>
        </w:rPr>
        <w:t>. godine sa stanjem u poslovnim knjigama turističke zajednice</w:t>
      </w:r>
    </w:p>
    <w:p w:rsidR="00801407" w:rsidRPr="00F824B6" w:rsidRDefault="00801407" w:rsidP="00821DA8">
      <w:pPr>
        <w:overflowPunct w:val="0"/>
        <w:autoSpaceDE w:val="0"/>
        <w:autoSpaceDN w:val="0"/>
        <w:adjustRightInd w:val="0"/>
        <w:spacing w:line="239" w:lineRule="auto"/>
        <w:ind w:left="364"/>
        <w:jc w:val="both"/>
        <w:rPr>
          <w:rFonts w:asciiTheme="majorHAnsi" w:hAnsiTheme="majorHAnsi" w:cs="Garamond"/>
          <w:b/>
          <w:bCs/>
        </w:rPr>
      </w:pPr>
    </w:p>
    <w:p w:rsidR="00B45658" w:rsidRDefault="00801407" w:rsidP="00801407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9" w:lineRule="auto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Prihodi TZ grada Vukovara u navedenom razdoblju iznosili su</w:t>
      </w:r>
      <w:r w:rsidR="00B45658">
        <w:rPr>
          <w:rFonts w:asciiTheme="majorHAnsi" w:hAnsiTheme="majorHAnsi"/>
        </w:rPr>
        <w:t xml:space="preserve"> 440.299,37 kn.</w:t>
      </w:r>
    </w:p>
    <w:p w:rsidR="00801407" w:rsidRPr="00F824B6" w:rsidRDefault="00B45658" w:rsidP="00B45658">
      <w:pPr>
        <w:suppressAutoHyphens w:val="0"/>
        <w:overflowPunct w:val="0"/>
        <w:autoSpaceDE w:val="0"/>
        <w:autoSpaceDN w:val="0"/>
        <w:adjustRightInd w:val="0"/>
        <w:spacing w:line="239" w:lineRule="auto"/>
        <w:ind w:left="7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Ostvareno je</w:t>
      </w:r>
      <w:r w:rsidR="00801407" w:rsidRPr="00F824B6">
        <w:rPr>
          <w:rFonts w:asciiTheme="majorHAnsi" w:hAnsiTheme="majorHAnsi"/>
        </w:rPr>
        <w:t xml:space="preserve"> 1</w:t>
      </w:r>
      <w:r w:rsidR="009A3692">
        <w:rPr>
          <w:rFonts w:asciiTheme="majorHAnsi" w:hAnsiTheme="majorHAnsi"/>
        </w:rPr>
        <w:t>6</w:t>
      </w:r>
      <w:r w:rsidR="00801407" w:rsidRPr="00F824B6">
        <w:rPr>
          <w:rFonts w:asciiTheme="majorHAnsi" w:hAnsiTheme="majorHAnsi"/>
        </w:rPr>
        <w:t>.</w:t>
      </w:r>
      <w:r w:rsidR="009A3692">
        <w:rPr>
          <w:rFonts w:asciiTheme="majorHAnsi" w:hAnsiTheme="majorHAnsi"/>
        </w:rPr>
        <w:t>657</w:t>
      </w:r>
      <w:r w:rsidR="00801407" w:rsidRPr="00F824B6">
        <w:rPr>
          <w:rFonts w:asciiTheme="majorHAnsi" w:hAnsiTheme="majorHAnsi"/>
        </w:rPr>
        <w:t>,</w:t>
      </w:r>
      <w:r w:rsidR="009A3692">
        <w:rPr>
          <w:rFonts w:asciiTheme="majorHAnsi" w:hAnsiTheme="majorHAnsi"/>
        </w:rPr>
        <w:t>5</w:t>
      </w:r>
      <w:r w:rsidR="00801407" w:rsidRPr="00F824B6">
        <w:rPr>
          <w:rFonts w:asciiTheme="majorHAnsi" w:hAnsiTheme="majorHAnsi"/>
        </w:rPr>
        <w:t>0 kn po osnovi boravišne pristojbe, 1</w:t>
      </w:r>
      <w:r w:rsidR="009A3692">
        <w:rPr>
          <w:rFonts w:asciiTheme="majorHAnsi" w:hAnsiTheme="majorHAnsi"/>
        </w:rPr>
        <w:t>23</w:t>
      </w:r>
      <w:r w:rsidR="00801407" w:rsidRPr="00F824B6">
        <w:rPr>
          <w:rFonts w:asciiTheme="majorHAnsi" w:hAnsiTheme="majorHAnsi"/>
        </w:rPr>
        <w:t>.</w:t>
      </w:r>
      <w:r w:rsidR="009A3692">
        <w:rPr>
          <w:rFonts w:asciiTheme="majorHAnsi" w:hAnsiTheme="majorHAnsi"/>
        </w:rPr>
        <w:t>199</w:t>
      </w:r>
      <w:r w:rsidR="00801407" w:rsidRPr="00F824B6">
        <w:rPr>
          <w:rFonts w:asciiTheme="majorHAnsi" w:hAnsiTheme="majorHAnsi"/>
        </w:rPr>
        <w:t>,</w:t>
      </w:r>
      <w:r w:rsidR="009A3692">
        <w:rPr>
          <w:rFonts w:asciiTheme="majorHAnsi" w:hAnsiTheme="majorHAnsi"/>
        </w:rPr>
        <w:t>44</w:t>
      </w:r>
      <w:r w:rsidR="00801407" w:rsidRPr="00F824B6">
        <w:rPr>
          <w:rFonts w:asciiTheme="majorHAnsi" w:hAnsiTheme="majorHAnsi"/>
        </w:rPr>
        <w:t xml:space="preserve"> kn po osnovi turističke članarine</w:t>
      </w:r>
      <w:r w:rsidR="009A3692">
        <w:rPr>
          <w:rFonts w:asciiTheme="majorHAnsi" w:hAnsiTheme="majorHAnsi"/>
        </w:rPr>
        <w:t xml:space="preserve"> i</w:t>
      </w:r>
      <w:r w:rsidR="00801407" w:rsidRPr="00F824B6">
        <w:rPr>
          <w:rFonts w:asciiTheme="majorHAnsi" w:hAnsiTheme="majorHAnsi"/>
        </w:rPr>
        <w:t xml:space="preserve"> </w:t>
      </w:r>
      <w:r w:rsidR="009A3692">
        <w:rPr>
          <w:rFonts w:asciiTheme="majorHAnsi" w:hAnsiTheme="majorHAnsi"/>
        </w:rPr>
        <w:t>292</w:t>
      </w:r>
      <w:r w:rsidR="00801407" w:rsidRPr="00F824B6">
        <w:rPr>
          <w:rFonts w:asciiTheme="majorHAnsi" w:hAnsiTheme="majorHAnsi"/>
        </w:rPr>
        <w:t>.</w:t>
      </w:r>
      <w:r w:rsidR="009A3692">
        <w:rPr>
          <w:rFonts w:asciiTheme="majorHAnsi" w:hAnsiTheme="majorHAnsi"/>
        </w:rPr>
        <w:t>177</w:t>
      </w:r>
      <w:r w:rsidR="00801407" w:rsidRPr="00F824B6">
        <w:rPr>
          <w:rFonts w:asciiTheme="majorHAnsi" w:hAnsiTheme="majorHAnsi"/>
        </w:rPr>
        <w:t>,</w:t>
      </w:r>
      <w:r w:rsidR="009A3692">
        <w:rPr>
          <w:rFonts w:asciiTheme="majorHAnsi" w:hAnsiTheme="majorHAnsi"/>
        </w:rPr>
        <w:t>96</w:t>
      </w:r>
      <w:r w:rsidR="00801407" w:rsidRPr="00F824B6">
        <w:rPr>
          <w:rFonts w:asciiTheme="majorHAnsi" w:hAnsiTheme="majorHAnsi"/>
        </w:rPr>
        <w:t xml:space="preserve"> kn po osnovi uplata iz Gradskog proračuna za programske aktivnosti.  Prihodi od kamata iznos</w:t>
      </w:r>
      <w:r w:rsidR="009A3692">
        <w:rPr>
          <w:rFonts w:asciiTheme="majorHAnsi" w:hAnsiTheme="majorHAnsi"/>
        </w:rPr>
        <w:t>ili su</w:t>
      </w:r>
      <w:r w:rsidR="00801407" w:rsidRPr="00F824B6">
        <w:rPr>
          <w:rFonts w:asciiTheme="majorHAnsi" w:hAnsiTheme="majorHAnsi"/>
        </w:rPr>
        <w:t xml:space="preserve"> </w:t>
      </w:r>
      <w:r w:rsidR="009A3692">
        <w:rPr>
          <w:rFonts w:asciiTheme="majorHAnsi" w:hAnsiTheme="majorHAnsi"/>
        </w:rPr>
        <w:t>21</w:t>
      </w:r>
      <w:r w:rsidR="00801407" w:rsidRPr="00F824B6">
        <w:rPr>
          <w:rFonts w:asciiTheme="majorHAnsi" w:hAnsiTheme="majorHAnsi"/>
        </w:rPr>
        <w:t>,</w:t>
      </w:r>
      <w:r w:rsidR="009A3692">
        <w:rPr>
          <w:rFonts w:asciiTheme="majorHAnsi" w:hAnsiTheme="majorHAnsi"/>
        </w:rPr>
        <w:t>25</w:t>
      </w:r>
      <w:r w:rsidR="00801407" w:rsidRPr="00F824B6">
        <w:rPr>
          <w:rFonts w:asciiTheme="majorHAnsi" w:hAnsiTheme="majorHAnsi"/>
        </w:rPr>
        <w:t xml:space="preserve"> kn. </w:t>
      </w:r>
      <w:r w:rsidR="009A3692">
        <w:rPr>
          <w:rFonts w:asciiTheme="majorHAnsi" w:hAnsiTheme="majorHAnsi"/>
        </w:rPr>
        <w:t>Prihodi od kotizacija za sudjelovanje na sajmovima u organizaciji TZ Vukovar iznosili su 6.200,00 kn, te 2.043,22 kn ostalih prihoda (povrat sredstava od HTZ-a za provedenu aktivnost – nastup na Sajmu turizma u Beogradu).</w:t>
      </w:r>
    </w:p>
    <w:p w:rsidR="00801407" w:rsidRPr="00F824B6" w:rsidRDefault="00801407" w:rsidP="00801407">
      <w:pPr>
        <w:suppressAutoHyphens w:val="0"/>
        <w:overflowPunct w:val="0"/>
        <w:autoSpaceDE w:val="0"/>
        <w:autoSpaceDN w:val="0"/>
        <w:adjustRightInd w:val="0"/>
        <w:spacing w:line="239" w:lineRule="auto"/>
        <w:ind w:left="724"/>
        <w:jc w:val="both"/>
        <w:rPr>
          <w:rFonts w:asciiTheme="majorHAnsi" w:hAnsiTheme="majorHAnsi"/>
        </w:rPr>
      </w:pPr>
    </w:p>
    <w:p w:rsidR="00801407" w:rsidRPr="00F824B6" w:rsidRDefault="00801407" w:rsidP="00801407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9" w:lineRule="auto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Rashodi prema vrstama iskazani su u temeljnim financijskim izvješćima</w:t>
      </w:r>
      <w:r w:rsidR="00B45658">
        <w:rPr>
          <w:rFonts w:asciiTheme="majorHAnsi" w:hAnsiTheme="majorHAnsi"/>
        </w:rPr>
        <w:t xml:space="preserve"> i u prvih šest mjeseci 2015. godine iznosili su</w:t>
      </w:r>
      <w:r w:rsidRPr="00F824B6">
        <w:rPr>
          <w:rFonts w:asciiTheme="majorHAnsi" w:hAnsiTheme="majorHAnsi"/>
        </w:rPr>
        <w:t xml:space="preserve"> </w:t>
      </w:r>
      <w:r w:rsidR="009A3692">
        <w:rPr>
          <w:rFonts w:asciiTheme="majorHAnsi" w:hAnsiTheme="majorHAnsi"/>
        </w:rPr>
        <w:t>444</w:t>
      </w:r>
      <w:r w:rsidRPr="00F824B6">
        <w:rPr>
          <w:rFonts w:asciiTheme="majorHAnsi" w:hAnsiTheme="majorHAnsi"/>
        </w:rPr>
        <w:t>.4</w:t>
      </w:r>
      <w:r w:rsidR="009A3692">
        <w:rPr>
          <w:rFonts w:asciiTheme="majorHAnsi" w:hAnsiTheme="majorHAnsi"/>
        </w:rPr>
        <w:t>97</w:t>
      </w:r>
      <w:r w:rsidRPr="00F824B6">
        <w:rPr>
          <w:rFonts w:asciiTheme="majorHAnsi" w:hAnsiTheme="majorHAnsi"/>
        </w:rPr>
        <w:t>,</w:t>
      </w:r>
      <w:r w:rsidR="009A3692">
        <w:rPr>
          <w:rFonts w:asciiTheme="majorHAnsi" w:hAnsiTheme="majorHAnsi"/>
        </w:rPr>
        <w:t>49</w:t>
      </w:r>
      <w:r w:rsidRPr="00F824B6">
        <w:rPr>
          <w:rFonts w:asciiTheme="majorHAnsi" w:hAnsiTheme="majorHAnsi"/>
        </w:rPr>
        <w:t xml:space="preserve"> kn.</w:t>
      </w:r>
    </w:p>
    <w:p w:rsidR="00801407" w:rsidRPr="00F824B6" w:rsidRDefault="00801407" w:rsidP="00801407">
      <w:pPr>
        <w:autoSpaceDE w:val="0"/>
        <w:autoSpaceDN w:val="0"/>
        <w:adjustRightInd w:val="0"/>
        <w:spacing w:line="1" w:lineRule="exact"/>
        <w:rPr>
          <w:rFonts w:asciiTheme="majorHAnsi" w:hAnsiTheme="majorHAnsi"/>
          <w:b/>
          <w:bCs/>
          <w:u w:val="single"/>
        </w:rPr>
      </w:pPr>
    </w:p>
    <w:p w:rsidR="00801407" w:rsidRPr="00F824B6" w:rsidRDefault="00801407" w:rsidP="00801407">
      <w:pPr>
        <w:autoSpaceDE w:val="0"/>
        <w:autoSpaceDN w:val="0"/>
        <w:adjustRightInd w:val="0"/>
        <w:spacing w:line="46" w:lineRule="exact"/>
        <w:rPr>
          <w:rFonts w:asciiTheme="majorHAnsi" w:hAnsiTheme="majorHAnsi"/>
          <w:b/>
          <w:bCs/>
          <w:u w:val="single"/>
        </w:rPr>
      </w:pPr>
    </w:p>
    <w:p w:rsidR="00801407" w:rsidRPr="00F824B6" w:rsidRDefault="00801407" w:rsidP="00801407">
      <w:pPr>
        <w:suppressAutoHyphens w:val="0"/>
        <w:overflowPunct w:val="0"/>
        <w:autoSpaceDE w:val="0"/>
        <w:autoSpaceDN w:val="0"/>
        <w:adjustRightInd w:val="0"/>
        <w:spacing w:line="217" w:lineRule="auto"/>
        <w:ind w:left="724"/>
        <w:jc w:val="both"/>
        <w:rPr>
          <w:rFonts w:asciiTheme="majorHAnsi" w:hAnsiTheme="majorHAnsi"/>
        </w:rPr>
      </w:pPr>
    </w:p>
    <w:p w:rsidR="00801407" w:rsidRPr="00F824B6" w:rsidRDefault="00801407" w:rsidP="00801407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17" w:lineRule="auto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Temeljem obavljene provjere, podaci u financijskim izvješćima odgovaraju podacima iskazanim u poslovnim knjigama turističke zajednice i pokazuju ispravno stanje.</w:t>
      </w:r>
    </w:p>
    <w:p w:rsidR="00801407" w:rsidRPr="00F824B6" w:rsidRDefault="00801407" w:rsidP="00801407">
      <w:pPr>
        <w:autoSpaceDE w:val="0"/>
        <w:autoSpaceDN w:val="0"/>
        <w:adjustRightInd w:val="0"/>
        <w:spacing w:line="1" w:lineRule="exact"/>
        <w:rPr>
          <w:rFonts w:asciiTheme="majorHAnsi" w:hAnsiTheme="majorHAnsi"/>
        </w:rPr>
      </w:pPr>
    </w:p>
    <w:p w:rsidR="00801407" w:rsidRPr="00F824B6" w:rsidRDefault="00801407" w:rsidP="00801407">
      <w:pPr>
        <w:autoSpaceDE w:val="0"/>
        <w:autoSpaceDN w:val="0"/>
        <w:adjustRightInd w:val="0"/>
        <w:spacing w:line="1" w:lineRule="exact"/>
        <w:rPr>
          <w:rFonts w:asciiTheme="majorHAnsi" w:hAnsiTheme="majorHAnsi"/>
        </w:rPr>
      </w:pPr>
    </w:p>
    <w:p w:rsidR="00801407" w:rsidRPr="00F824B6" w:rsidRDefault="00801407" w:rsidP="00801407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Sredstvima turističke zajednice raspolaže se u skladu s programom rada, odlukama tijela te u skladu s utvrđenim ovlastima.</w:t>
      </w:r>
    </w:p>
    <w:p w:rsidR="00821DA8" w:rsidRPr="00F824B6" w:rsidRDefault="00821DA8" w:rsidP="00821DA8">
      <w:pPr>
        <w:autoSpaceDE w:val="0"/>
        <w:autoSpaceDN w:val="0"/>
        <w:adjustRightInd w:val="0"/>
        <w:spacing w:line="1" w:lineRule="exact"/>
        <w:rPr>
          <w:rFonts w:asciiTheme="majorHAnsi" w:hAnsiTheme="majorHAnsi" w:cs="Garamond"/>
        </w:rPr>
      </w:pPr>
    </w:p>
    <w:p w:rsidR="00821DA8" w:rsidRPr="00F824B6" w:rsidRDefault="00821DA8" w:rsidP="00821DA8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9" w:lineRule="auto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lastRenderedPageBreak/>
        <w:t xml:space="preserve">TZ grada Vukovara posluje preko dva žiro računa,  otvorenih u Hypo-Alpe Adria Bank broj: </w:t>
      </w:r>
      <w:r w:rsidR="009A3692">
        <w:rPr>
          <w:rFonts w:asciiTheme="majorHAnsi" w:hAnsiTheme="majorHAnsi"/>
        </w:rPr>
        <w:t>HR10</w:t>
      </w:r>
      <w:r w:rsidRPr="00F824B6">
        <w:rPr>
          <w:rFonts w:asciiTheme="majorHAnsi" w:hAnsiTheme="majorHAnsi"/>
        </w:rPr>
        <w:t xml:space="preserve">25000091102033079 (osnovni račun) i broj: </w:t>
      </w:r>
      <w:r w:rsidR="009A3692">
        <w:rPr>
          <w:rFonts w:asciiTheme="majorHAnsi" w:hAnsiTheme="majorHAnsi"/>
        </w:rPr>
        <w:t>HR36</w:t>
      </w:r>
      <w:r w:rsidRPr="00F824B6">
        <w:rPr>
          <w:rFonts w:asciiTheme="majorHAnsi" w:hAnsiTheme="majorHAnsi"/>
        </w:rPr>
        <w:t>2500009</w:t>
      </w:r>
      <w:r w:rsidR="009A3692">
        <w:rPr>
          <w:rFonts w:asciiTheme="majorHAnsi" w:hAnsiTheme="majorHAnsi"/>
        </w:rPr>
        <w:t>1501136703</w:t>
      </w:r>
      <w:r w:rsidRPr="00F824B6">
        <w:rPr>
          <w:rFonts w:asciiTheme="majorHAnsi" w:hAnsiTheme="majorHAnsi"/>
        </w:rPr>
        <w:t xml:space="preserve"> (podračun).</w:t>
      </w:r>
    </w:p>
    <w:p w:rsidR="00801407" w:rsidRPr="00F824B6" w:rsidRDefault="00801407" w:rsidP="00801407">
      <w:pPr>
        <w:suppressAutoHyphens w:val="0"/>
        <w:overflowPunct w:val="0"/>
        <w:autoSpaceDE w:val="0"/>
        <w:autoSpaceDN w:val="0"/>
        <w:adjustRightInd w:val="0"/>
        <w:spacing w:line="239" w:lineRule="auto"/>
        <w:ind w:left="724"/>
        <w:jc w:val="both"/>
        <w:rPr>
          <w:rFonts w:asciiTheme="majorHAnsi" w:hAnsiTheme="majorHAnsi"/>
        </w:rPr>
      </w:pPr>
    </w:p>
    <w:p w:rsidR="00821DA8" w:rsidRPr="00F824B6" w:rsidRDefault="00821DA8" w:rsidP="00821DA8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9" w:lineRule="auto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Jednom poslovnom Visa karticom raspolaže direktorica Turističkog ureda. Poslovna kartica koristi se za potrebe plaćanja na službenom putu te u slučajevima kada nije moguće ili je otežano virmansko plaćanje za potrebe realizacije programa rada.</w:t>
      </w:r>
    </w:p>
    <w:p w:rsidR="00F824B6" w:rsidRDefault="00F824B6" w:rsidP="00F824B6">
      <w:pPr>
        <w:jc w:val="both"/>
        <w:rPr>
          <w:rFonts w:asciiTheme="majorHAnsi" w:hAnsiTheme="majorHAnsi"/>
        </w:rPr>
      </w:pPr>
    </w:p>
    <w:p w:rsidR="00821DA8" w:rsidRPr="00F824B6" w:rsidRDefault="00821DA8" w:rsidP="00F824B6">
      <w:pPr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Slijedom obavljenog nadzora, Nadzorni odbor utvrđuje da direktorica Turističkog ureda vodi uredno poslovanje Turističkog ureda. Tijela TZ grada Vukovara obavljaju svoje zakonom propisane zadaće i prate tijek realizacije programa rada i financijskog plana TZ grada Vukovara te rad Turističkog ureda</w:t>
      </w:r>
    </w:p>
    <w:p w:rsidR="00F824B6" w:rsidRDefault="00F824B6" w:rsidP="00F824B6">
      <w:pPr>
        <w:pStyle w:val="NoSpacing"/>
        <w:jc w:val="both"/>
        <w:rPr>
          <w:rFonts w:asciiTheme="majorHAnsi" w:hAnsiTheme="majorHAnsi"/>
        </w:rPr>
      </w:pPr>
    </w:p>
    <w:p w:rsidR="00801407" w:rsidRDefault="00801407" w:rsidP="00E13D6E">
      <w:pPr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Sve aktivnosti Turističke zajedenice planirane u prvih </w:t>
      </w:r>
      <w:r w:rsidR="00B45658">
        <w:rPr>
          <w:rFonts w:asciiTheme="majorHAnsi" w:hAnsiTheme="majorHAnsi"/>
        </w:rPr>
        <w:t>šest</w:t>
      </w:r>
      <w:r w:rsidRPr="00F824B6">
        <w:rPr>
          <w:rFonts w:asciiTheme="majorHAnsi" w:hAnsiTheme="majorHAnsi"/>
        </w:rPr>
        <w:t xml:space="preserve"> mjeseci 201</w:t>
      </w:r>
      <w:r w:rsidR="00E13D6E">
        <w:rPr>
          <w:rFonts w:asciiTheme="majorHAnsi" w:hAnsiTheme="majorHAnsi"/>
        </w:rPr>
        <w:t>5</w:t>
      </w:r>
      <w:r w:rsidRPr="00F824B6">
        <w:rPr>
          <w:rFonts w:asciiTheme="majorHAnsi" w:hAnsiTheme="majorHAnsi"/>
        </w:rPr>
        <w:t xml:space="preserve">. godine su i realizirane. Na natječaj Hrvatske turističke zajednice za potpore turističkim zajednicama na turistički nerazvijenim područjima kandidirana su </w:t>
      </w:r>
      <w:r w:rsidR="00E13D6E">
        <w:rPr>
          <w:rFonts w:asciiTheme="majorHAnsi" w:hAnsiTheme="majorHAnsi"/>
        </w:rPr>
        <w:t>četiri</w:t>
      </w:r>
      <w:r w:rsidRPr="00F824B6">
        <w:rPr>
          <w:rFonts w:asciiTheme="majorHAnsi" w:hAnsiTheme="majorHAnsi"/>
        </w:rPr>
        <w:t xml:space="preserve"> projekta: Izrada i postavljanje znakova </w:t>
      </w:r>
      <w:r w:rsidRPr="00E13D6E">
        <w:rPr>
          <w:rFonts w:asciiTheme="majorHAnsi" w:hAnsiTheme="majorHAnsi"/>
        </w:rPr>
        <w:t xml:space="preserve">smeđe signalizacije, </w:t>
      </w:r>
      <w:r w:rsidR="00E13D6E" w:rsidRPr="00E13D6E">
        <w:rPr>
          <w:rFonts w:asciiTheme="majorHAnsi" w:hAnsiTheme="majorHAnsi" w:cs="Tahoma"/>
        </w:rPr>
        <w:t>Stvaranje novog integriranog kulturno-turističkog proizvoda - Galerija starih zanata, Unapređivanje uvijeta boravka turista postavljanjem turističkog info kioska i Edukacija za iznajmljivače smještaja</w:t>
      </w:r>
      <w:r w:rsidRPr="00E13D6E">
        <w:rPr>
          <w:rFonts w:asciiTheme="majorHAnsi" w:hAnsiTheme="majorHAnsi"/>
        </w:rPr>
        <w:t>.</w:t>
      </w:r>
      <w:r w:rsidRPr="00F824B6">
        <w:rPr>
          <w:rFonts w:asciiTheme="majorHAnsi" w:hAnsiTheme="majorHAnsi"/>
        </w:rPr>
        <w:t xml:space="preserve"> </w:t>
      </w:r>
      <w:r w:rsidR="00E13D6E">
        <w:rPr>
          <w:rFonts w:asciiTheme="majorHAnsi" w:hAnsiTheme="majorHAnsi"/>
        </w:rPr>
        <w:t>Odobrena su sredstva u iznosu od 27.200,00 kn za projekte postavljanja smeđe signalizacije i edukacije za iznajmljivače smještaja</w:t>
      </w:r>
      <w:r w:rsidRPr="00F824B6">
        <w:rPr>
          <w:rFonts w:asciiTheme="majorHAnsi" w:hAnsiTheme="majorHAnsi"/>
        </w:rPr>
        <w:t>.</w:t>
      </w:r>
    </w:p>
    <w:p w:rsidR="00801407" w:rsidRPr="00F824B6" w:rsidRDefault="00801407" w:rsidP="00801407">
      <w:pPr>
        <w:pStyle w:val="NoSpacing"/>
        <w:jc w:val="both"/>
        <w:rPr>
          <w:rFonts w:asciiTheme="majorHAnsi" w:hAnsiTheme="majorHAnsi"/>
        </w:rPr>
      </w:pPr>
    </w:p>
    <w:p w:rsidR="00801407" w:rsidRDefault="00801407" w:rsidP="00801407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bCs/>
        </w:rPr>
      </w:pPr>
      <w:r w:rsidRPr="00763C77">
        <w:rPr>
          <w:rFonts w:asciiTheme="majorHAnsi" w:hAnsiTheme="majorHAnsi"/>
          <w:b/>
          <w:bCs/>
        </w:rPr>
        <w:t xml:space="preserve">4. </w:t>
      </w:r>
      <w:r>
        <w:rPr>
          <w:rFonts w:asciiTheme="majorHAnsi" w:hAnsiTheme="majorHAnsi"/>
          <w:b/>
          <w:bCs/>
        </w:rPr>
        <w:t xml:space="preserve">Izvršenje i provedba Programa rada i Financijskog plana Turističke zajednice </w:t>
      </w:r>
    </w:p>
    <w:p w:rsidR="00801407" w:rsidRDefault="00801407" w:rsidP="00801407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</w:t>
      </w:r>
      <w:r>
        <w:rPr>
          <w:rFonts w:asciiTheme="majorHAnsi" w:hAnsiTheme="majorHAnsi"/>
          <w:b/>
          <w:bCs/>
          <w:sz w:val="2"/>
          <w:szCs w:val="2"/>
        </w:rPr>
        <w:t xml:space="preserve">                 </w:t>
      </w:r>
      <w:r>
        <w:rPr>
          <w:rFonts w:asciiTheme="majorHAnsi" w:hAnsiTheme="majorHAnsi"/>
          <w:b/>
          <w:bCs/>
        </w:rPr>
        <w:t>grada Vukovara</w:t>
      </w:r>
      <w:r w:rsidR="008335E6">
        <w:rPr>
          <w:rFonts w:asciiTheme="majorHAnsi" w:hAnsiTheme="majorHAnsi"/>
          <w:b/>
          <w:bCs/>
        </w:rPr>
        <w:t xml:space="preserve"> za period 01.01. – 30.06.2015.</w:t>
      </w:r>
    </w:p>
    <w:p w:rsidR="006C5EAB" w:rsidRDefault="006C5EAB" w:rsidP="00821DA8"/>
    <w:p w:rsidR="006C5EAB" w:rsidRDefault="006C5EAB" w:rsidP="006C5EAB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Financijski plan TZ grada Vukovara za razdoblje siječanj – lipanj 201</w:t>
      </w:r>
      <w:r w:rsidR="009A3692">
        <w:rPr>
          <w:rFonts w:asciiTheme="majorHAnsi" w:hAnsiTheme="majorHAnsi"/>
        </w:rPr>
        <w:t>5</w:t>
      </w:r>
      <w:r>
        <w:rPr>
          <w:rFonts w:asciiTheme="majorHAnsi" w:hAnsiTheme="majorHAnsi"/>
        </w:rPr>
        <w:t>. godine realiziran je u sljedećim iznosima:</w:t>
      </w:r>
    </w:p>
    <w:p w:rsidR="006C5EAB" w:rsidRDefault="006C5EAB" w:rsidP="006C5EAB">
      <w:pPr>
        <w:pStyle w:val="NoSpacing"/>
        <w:jc w:val="both"/>
        <w:rPr>
          <w:rFonts w:asciiTheme="majorHAnsi" w:hAnsiTheme="majorHAnsi"/>
        </w:rPr>
      </w:pPr>
    </w:p>
    <w:tbl>
      <w:tblPr>
        <w:tblW w:w="9990" w:type="dxa"/>
        <w:tblInd w:w="-384" w:type="dxa"/>
        <w:tblLayout w:type="fixed"/>
        <w:tblLook w:val="04A0"/>
      </w:tblPr>
      <w:tblGrid>
        <w:gridCol w:w="709"/>
        <w:gridCol w:w="3619"/>
        <w:gridCol w:w="1559"/>
        <w:gridCol w:w="1276"/>
        <w:gridCol w:w="1417"/>
        <w:gridCol w:w="1410"/>
      </w:tblGrid>
      <w:tr w:rsidR="00E13D6E" w:rsidRPr="00287405" w:rsidTr="00F824B6">
        <w:trPr>
          <w:trHeight w:val="9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RB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E13D6E" w:rsidRPr="00287405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PRIHODI PO VRSTAMA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E13D6E" w:rsidRPr="00DB0FE5" w:rsidRDefault="00E13D6E" w:rsidP="009A3692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B0FE5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PLAN 201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5</w:t>
            </w:r>
            <w:r w:rsidRPr="00DB0FE5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E13D6E" w:rsidRPr="00DB0FE5" w:rsidRDefault="00E13D6E" w:rsidP="0080140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B0FE5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STRUKTURA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E13D6E" w:rsidRPr="00E13D6E" w:rsidRDefault="00E13D6E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E13D6E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OSTVARENO U PERIODU SIJEČANJ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13D6E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-LIPANJ 2015.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E13D6E" w:rsidRDefault="00E13D6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INDEX</w:t>
            </w:r>
          </w:p>
        </w:tc>
      </w:tr>
      <w:tr w:rsidR="00E13D6E" w:rsidRPr="00287405" w:rsidTr="00361A4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Prihodi od boravišne pristojbe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16.657,50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25,63</w:t>
            </w:r>
          </w:p>
        </w:tc>
      </w:tr>
      <w:tr w:rsidR="00E13D6E" w:rsidRPr="00287405" w:rsidTr="00361A4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Prihodi od turističke članarine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123.199,44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30,80</w:t>
            </w:r>
          </w:p>
        </w:tc>
      </w:tr>
      <w:tr w:rsidR="00E13D6E" w:rsidRPr="00287405" w:rsidTr="00361A4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Prihodi iz proračuna općine/grada/državnog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292.177,96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56,19</w:t>
            </w:r>
          </w:p>
        </w:tc>
      </w:tr>
      <w:tr w:rsidR="00E13D6E" w:rsidRPr="00287405" w:rsidTr="00361A4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ind w:firstLineChars="200" w:firstLine="40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za programske aktivnosti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292.177,96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56,19</w:t>
            </w:r>
          </w:p>
        </w:tc>
      </w:tr>
      <w:tr w:rsidR="00E13D6E" w:rsidRPr="00287405" w:rsidTr="00361A4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ind w:firstLineChars="200" w:firstLine="40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za funkcioniranje turističkog ureda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287405" w:rsidTr="00361A4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Prihodi od drugih aktivnosti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21,25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0,02</w:t>
            </w:r>
          </w:p>
        </w:tc>
      </w:tr>
      <w:tr w:rsidR="00E13D6E" w:rsidRPr="00287405" w:rsidTr="00361A4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Transfer od TZ VSŽ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287405" w:rsidTr="00361A4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Od transfera HTZ – 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287405" w:rsidTr="00E13D6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Prihodi od kamata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21,25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4,25</w:t>
            </w:r>
          </w:p>
        </w:tc>
      </w:tr>
      <w:tr w:rsidR="00E13D6E" w:rsidRPr="00287405" w:rsidTr="00E13D6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Ministarstvo turizma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287405" w:rsidTr="00E13D6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E13D6E" w:rsidRPr="00287405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Prijenos prihoda prethodne godine (višak prihoda ako je ostvaren)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287405" w:rsidTr="00E13D6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E13D6E" w:rsidRPr="00287405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E13D6E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Prihodi od kotizacija za sudjelovanje na sajmovima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25,31</w:t>
            </w:r>
          </w:p>
        </w:tc>
      </w:tr>
      <w:tr w:rsidR="00E13D6E" w:rsidRPr="00287405" w:rsidTr="00E13D6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E13D6E" w:rsidRPr="00287405" w:rsidRDefault="00E13D6E" w:rsidP="00E13D6E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Ostali nespomenuti prihodi (povrat sredstava za provedene aktivnosti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2.043,22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13D6E" w:rsidRPr="00287405" w:rsidTr="00E13D6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13D6E" w:rsidRPr="00287405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 xml:space="preserve">SVEUKUPNO PRIHODI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1.100.000,00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440.299,37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40,03</w:t>
            </w:r>
          </w:p>
        </w:tc>
      </w:tr>
      <w:tr w:rsidR="00801407" w:rsidRPr="003910B0" w:rsidTr="00F824B6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01407" w:rsidRPr="003910B0" w:rsidRDefault="00801407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RB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01407" w:rsidRPr="003910B0" w:rsidRDefault="00801407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RASHODI PO VRSTAMA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801407" w:rsidRPr="00DB0FE5" w:rsidRDefault="00801407" w:rsidP="0080140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801407" w:rsidRPr="00DB0FE5" w:rsidRDefault="00801407" w:rsidP="0080140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01407" w:rsidRPr="00DB0FE5" w:rsidRDefault="00801407" w:rsidP="0080140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01407" w:rsidRPr="00DB0FE5" w:rsidRDefault="00801407" w:rsidP="0080140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lastRenderedPageBreak/>
              <w:t>I.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ADMINISTRATIVNI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228.914,56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49,23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Rashodi za radnike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392.000,00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190.928,05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48,71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Rashodi ureda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37.986,51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52,04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Rashodi za rad tijela Turističke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DIZAJN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403.000,00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168.192,31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41,74</w:t>
            </w:r>
          </w:p>
        </w:tc>
      </w:tr>
      <w:tr w:rsidR="00E13D6E" w:rsidRPr="003910B0" w:rsidTr="00F824B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Poticanje i sudjelovanje u uređenju grada/općine/mjesta/ (osim izgradnje komunalne infrastrukture)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Projekt Volim Hrvatsku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Izbor najljepše okućnice (izloga)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3910B0" w:rsidTr="00361A4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Manifestacije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383.000,00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168.192,31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43,91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Kulturno-zabavne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133.286,37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63,47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Vinkovo u Vukovaru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2.613,26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17,42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Prvosvibanjski izlet u Adici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76.634,75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Živjeti s Dunavom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361A4F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Međunarodni dan Dunava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54.038,36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Etno sajam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 xml:space="preserve">Sportske manifestacije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Ostale manifestacije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32.220,20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23,01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 xml:space="preserve">     Sajam cvijeća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31.257,70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48,09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E13D6E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2.3.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2</w:t>
            </w: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TID regata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E13D6E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Božićni sajam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962,50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E13D6E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2.3.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4</w:t>
            </w: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Doček Nove godine na Trgu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E13D6E" w:rsidRPr="003910B0" w:rsidTr="00F824B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Potpore manifestacijama (suorganizacija s drugim subjektima te donacije drugima za manifestacije)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2.685,74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33,57</w:t>
            </w:r>
          </w:p>
        </w:tc>
      </w:tr>
      <w:tr w:rsidR="00E13D6E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Organizacija i upravljanje destinacijom i potpora razvoju DMO i DMK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13D6E" w:rsidRDefault="00E13D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Projekti iz programa za nerazvijene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</w:tr>
      <w:tr w:rsidR="00E13D6E" w:rsidRPr="003910B0" w:rsidTr="00F824B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6E" w:rsidRPr="003910B0" w:rsidRDefault="00E13D6E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Projekti financirani iz fonodova EU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6E" w:rsidRDefault="00E13D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 xml:space="preserve">KOMUNIKACIJA VRIJEDNOSTI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131.000,00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22.236,61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16,97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Online komunikacije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42,50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Internet oglašavanje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66,67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Internet stranice i upravljanje Internet stranicama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4.800,00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36,92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Offline komunikacije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14.449,11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15,21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Oglašavaje u promotivnim kampanjama javnog i privatnog sektora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Opće oglašavanje (oglašavanje u tisku, TV oglašavanje, radio)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8.499,36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56,66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 xml:space="preserve">Brošure i ostali tiskani materijali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Suveniri i promo materijali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4.247,00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21,24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Info table (city panoi)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1.702,75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Smeđa signalizacija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987,50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4,94</w:t>
            </w:r>
          </w:p>
        </w:tc>
      </w:tr>
      <w:tr w:rsidR="00BE44B2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BE44B2" w:rsidRPr="003910B0" w:rsidRDefault="00BE44B2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BE44B2" w:rsidRPr="003910B0" w:rsidRDefault="00BE44B2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DISTRIBUCIJA I PRODAJA VRIJEDNOSTI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43.000,00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12.292,63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28,59</w:t>
            </w:r>
          </w:p>
        </w:tc>
      </w:tr>
      <w:tr w:rsidR="00BE44B2" w:rsidRPr="003910B0" w:rsidTr="00F824B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4B2" w:rsidRPr="003910B0" w:rsidRDefault="00BE44B2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4B2" w:rsidRPr="003910B0" w:rsidRDefault="00BE44B2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Sajmovi (u skladu sa zakonskim propisima i propisanim pravilima za sustav TZ)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10.025,63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66,84</w:t>
            </w:r>
          </w:p>
        </w:tc>
      </w:tr>
      <w:tr w:rsidR="00BE44B2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4B2" w:rsidRPr="003910B0" w:rsidRDefault="00BE44B2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4B2" w:rsidRPr="003910B0" w:rsidRDefault="00BE44B2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Posebne prezentacije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2.267,00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22,67</w:t>
            </w:r>
          </w:p>
        </w:tc>
      </w:tr>
      <w:tr w:rsidR="00BE44B2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4B2" w:rsidRPr="003910B0" w:rsidRDefault="00BE44B2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4B2" w:rsidRPr="003910B0" w:rsidRDefault="00BE44B2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Ostale prezentacije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B2" w:rsidRDefault="00BE44B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Studijska putovanja novinara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lastRenderedPageBreak/>
              <w:t>V.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INTERNI MARKETING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2.443,00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14,37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Edukacija (zaposleni, subjekti javnog i privatnog sektora)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F824B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 xml:space="preserve">Koordinacija subjekata koji su neposredno ili posredno uključeni u turistički promet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2.443,00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20,36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Nagrade i priznaja (Projekt. Volim Hrvatsku i ostalo)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VI.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MARKETINŠKA INFRASTRUKTURA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1.537,50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8,54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Proizvodnja multimedijalnih materijala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1.537,50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19,22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Istraživanje tržišta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 xml:space="preserve">Formiranje baze podataka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Suradnja s međunarodnim institucijama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Banka fotografija i priprema u izdavaštvu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F824B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Jedinstveni turistički informacijski sustav (program za prijavu i odjavu gostiju, statistika, Arhinet i dr.)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F824B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 xml:space="preserve">VII.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POSEBNI PROGRAMI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F824B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Projekti poticanje i pomaganje razvoja turizma na područjima koja nisu turistički razvijena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 xml:space="preserve">OSTALO </w:t>
            </w:r>
            <w:r w:rsidRPr="003910B0">
              <w:rPr>
                <w:rFonts w:ascii="Cambria" w:eastAsia="Times New Roman" w:hAnsi="Cambria"/>
                <w:sz w:val="20"/>
                <w:szCs w:val="20"/>
              </w:rPr>
              <w:t>(planovi razvoja turizma, strateški marketing planovi i ostalo)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3.883,68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77,67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Prijevoz na vukovarsku 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3.883,68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77,67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TRANSFER BORAVIŠNE PRISTOJBE OPĆINI/GRADU (30%)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4.997,20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27,76</w:t>
            </w:r>
          </w:p>
        </w:tc>
      </w:tr>
      <w:tr w:rsidR="008335E6" w:rsidRPr="003910B0" w:rsidTr="00F824B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X.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POKRIVANJE MANJKA IZ PRETHODNE GODINE (ukoliko je isti ostvaren)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35E6" w:rsidRPr="003910B0" w:rsidTr="00361A4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335E6" w:rsidRPr="003910B0" w:rsidRDefault="008335E6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1.100.000,00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444.497,49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8335E6" w:rsidRDefault="008335E6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40,41</w:t>
            </w:r>
          </w:p>
        </w:tc>
      </w:tr>
      <w:tr w:rsidR="00801407" w:rsidRPr="003910B0" w:rsidTr="00F824B6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407" w:rsidRPr="003910B0" w:rsidRDefault="00801407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407" w:rsidRPr="00F824B6" w:rsidRDefault="00F824B6" w:rsidP="008335E6">
            <w:pPr>
              <w:widowControl/>
              <w:suppressAutoHyphens w:val="0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</w:pPr>
            <w:r w:rsidRPr="00F824B6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  <w:t xml:space="preserve">STANJE RAČUNA NA DAN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5E6" w:rsidRDefault="008335E6" w:rsidP="00641D19">
            <w:pPr>
              <w:widowControl/>
              <w:suppressAutoHyphens w:val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31.12.2014.</w:t>
            </w:r>
          </w:p>
          <w:p w:rsidR="00801407" w:rsidRPr="003910B0" w:rsidRDefault="008335E6" w:rsidP="00641D19">
            <w:pPr>
              <w:widowControl/>
              <w:suppressAutoHyphens w:val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90.591,98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407" w:rsidRPr="003910B0" w:rsidRDefault="00801407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407" w:rsidRDefault="008335E6" w:rsidP="00801407">
            <w:pPr>
              <w:widowControl/>
              <w:suppressAutoHyphens w:val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30.06.2015.</w:t>
            </w:r>
          </w:p>
          <w:p w:rsidR="008335E6" w:rsidRPr="003910B0" w:rsidRDefault="00B45658" w:rsidP="00B45658">
            <w:pPr>
              <w:widowControl/>
              <w:suppressAutoHyphens w:val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96</w:t>
            </w:r>
            <w:r w:rsidR="008335E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964</w:t>
            </w:r>
            <w:r w:rsidR="008335E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407" w:rsidRPr="003910B0" w:rsidRDefault="00801407" w:rsidP="00801407">
            <w:pPr>
              <w:widowControl/>
              <w:suppressAutoHyphens w:val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801407" w:rsidRDefault="00801407" w:rsidP="00801407">
      <w:pPr>
        <w:pStyle w:val="NoSpacing"/>
        <w:ind w:left="-284"/>
        <w:jc w:val="both"/>
        <w:rPr>
          <w:rFonts w:asciiTheme="majorHAnsi" w:hAnsiTheme="majorHAnsi"/>
        </w:rPr>
      </w:pPr>
    </w:p>
    <w:p w:rsidR="006C5EAB" w:rsidRPr="008D2EA4" w:rsidRDefault="00361A4F" w:rsidP="00AE113E">
      <w:pPr>
        <w:jc w:val="both"/>
        <w:rPr>
          <w:rFonts w:asciiTheme="majorHAnsi" w:hAnsiTheme="majorHAnsi"/>
        </w:rPr>
      </w:pPr>
      <w:r w:rsidRPr="008D2EA4">
        <w:rPr>
          <w:rFonts w:asciiTheme="majorHAnsi" w:hAnsiTheme="majorHAnsi"/>
        </w:rPr>
        <w:t>NAPOMENA: Uz sve gore rečeno, Nadzorni odbor ne može a da ne spomene alarmantno stanje vezano uz financijsku situaciju u smislu financiranja iz vlastitih izvora sredstava. Sredstva od turističke članarine se od 2010.</w:t>
      </w:r>
      <w:r w:rsidR="008D2EA4">
        <w:rPr>
          <w:rFonts w:asciiTheme="majorHAnsi" w:hAnsiTheme="majorHAnsi"/>
        </w:rPr>
        <w:t xml:space="preserve"> </w:t>
      </w:r>
      <w:r w:rsidRPr="008D2EA4">
        <w:rPr>
          <w:rFonts w:asciiTheme="majorHAnsi" w:hAnsiTheme="majorHAnsi"/>
        </w:rPr>
        <w:t>g., tj. od primjene novog Zakona o turistički</w:t>
      </w:r>
      <w:r w:rsidR="00934F76" w:rsidRPr="008D2EA4">
        <w:rPr>
          <w:rFonts w:asciiTheme="majorHAnsi" w:hAnsiTheme="majorHAnsi"/>
        </w:rPr>
        <w:t>m zajednicama, sustavno smanjuju</w:t>
      </w:r>
      <w:r w:rsidRPr="008D2EA4">
        <w:rPr>
          <w:rFonts w:asciiTheme="majorHAnsi" w:hAnsiTheme="majorHAnsi"/>
        </w:rPr>
        <w:t xml:space="preserve">, tako da se iz istih ne mogu u potpunosti financirati administrativni rashodi tj. rashodi za radnike i troškovi ureda. Sada je već vidljivo da </w:t>
      </w:r>
      <w:r w:rsidR="00AE113E" w:rsidRPr="008D2EA4">
        <w:rPr>
          <w:rFonts w:asciiTheme="majorHAnsi" w:hAnsiTheme="majorHAnsi"/>
        </w:rPr>
        <w:t>su izvorni prihodi</w:t>
      </w:r>
      <w:r w:rsidR="00934F76" w:rsidRPr="008D2EA4">
        <w:rPr>
          <w:rFonts w:asciiTheme="majorHAnsi" w:hAnsiTheme="majorHAnsi"/>
        </w:rPr>
        <w:t xml:space="preserve"> za prvih šest mjeseci 2015.</w:t>
      </w:r>
      <w:r w:rsidR="008D2EA4">
        <w:rPr>
          <w:rFonts w:asciiTheme="majorHAnsi" w:hAnsiTheme="majorHAnsi"/>
        </w:rPr>
        <w:t xml:space="preserve"> </w:t>
      </w:r>
      <w:r w:rsidR="00934F76" w:rsidRPr="008D2EA4">
        <w:rPr>
          <w:rFonts w:asciiTheme="majorHAnsi" w:hAnsiTheme="majorHAnsi"/>
        </w:rPr>
        <w:t>g.</w:t>
      </w:r>
      <w:r w:rsidR="00AE113E" w:rsidRPr="008D2EA4">
        <w:rPr>
          <w:rFonts w:asciiTheme="majorHAnsi" w:hAnsiTheme="majorHAnsi"/>
        </w:rPr>
        <w:t xml:space="preserve"> manji za 89.087,62</w:t>
      </w:r>
      <w:r w:rsidR="008D2EA4">
        <w:rPr>
          <w:rFonts w:asciiTheme="majorHAnsi" w:hAnsiTheme="majorHAnsi"/>
        </w:rPr>
        <w:t xml:space="preserve"> </w:t>
      </w:r>
      <w:r w:rsidR="00AE113E" w:rsidRPr="008D2EA4">
        <w:rPr>
          <w:rFonts w:asciiTheme="majorHAnsi" w:hAnsiTheme="majorHAnsi"/>
        </w:rPr>
        <w:t>kn</w:t>
      </w:r>
      <w:r w:rsidR="00B2555D" w:rsidRPr="008D2EA4">
        <w:rPr>
          <w:rFonts w:asciiTheme="majorHAnsi" w:hAnsiTheme="majorHAnsi"/>
        </w:rPr>
        <w:t xml:space="preserve"> od administrativnih troškova, stvarno stanje će se vidjeti po završnom računu za 2015.</w:t>
      </w:r>
      <w:r w:rsidR="008D2EA4">
        <w:rPr>
          <w:rFonts w:asciiTheme="majorHAnsi" w:hAnsiTheme="majorHAnsi"/>
        </w:rPr>
        <w:t xml:space="preserve"> </w:t>
      </w:r>
      <w:r w:rsidR="00B2555D" w:rsidRPr="008D2EA4">
        <w:rPr>
          <w:rFonts w:asciiTheme="majorHAnsi" w:hAnsiTheme="majorHAnsi"/>
        </w:rPr>
        <w:t>g., ali sad već treba razmišljati o mjerama koje treba poduzeti.</w:t>
      </w:r>
    </w:p>
    <w:p w:rsidR="000F35B7" w:rsidRDefault="000F35B7" w:rsidP="00AE113E">
      <w:pPr>
        <w:jc w:val="both"/>
        <w:rPr>
          <w:rFonts w:asciiTheme="majorHAnsi" w:hAnsiTheme="majorHAnsi"/>
        </w:rPr>
      </w:pPr>
    </w:p>
    <w:p w:rsidR="00B2555D" w:rsidRPr="008D2EA4" w:rsidRDefault="008D2EA4" w:rsidP="00AE113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Mi, kao N</w:t>
      </w:r>
      <w:r w:rsidR="00B2555D" w:rsidRPr="008D2EA4">
        <w:rPr>
          <w:rFonts w:asciiTheme="majorHAnsi" w:hAnsiTheme="majorHAnsi"/>
        </w:rPr>
        <w:t>adzorni odbor moramo konstatirati nesrazmjer priliva i rashoda</w:t>
      </w:r>
      <w:r w:rsidR="00934F76" w:rsidRPr="008D2EA4">
        <w:rPr>
          <w:rFonts w:asciiTheme="majorHAnsi" w:hAnsiTheme="majorHAnsi"/>
        </w:rPr>
        <w:t xml:space="preserve"> za administrativne troškove i potaknuti članove vjeća i direktoricu da razmisle o mjerama racionalizacije. Dva su načina; ili povećati prihode ili smanjiti rashode.</w:t>
      </w:r>
    </w:p>
    <w:p w:rsidR="00361A4F" w:rsidRDefault="00B45658" w:rsidP="00AE113E">
      <w:pPr>
        <w:ind w:left="4956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5658" w:rsidRPr="006148AB" w:rsidRDefault="000F35B7" w:rsidP="000F35B7">
      <w:pPr>
        <w:ind w:left="4956" w:firstLine="708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</w:rPr>
        <w:t xml:space="preserve"> </w:t>
      </w:r>
      <w:r w:rsidR="00B45658">
        <w:rPr>
          <w:rFonts w:asciiTheme="majorHAnsi" w:hAnsiTheme="majorHAnsi"/>
        </w:rPr>
        <w:t>Predjednik</w:t>
      </w:r>
      <w:r w:rsidR="00B45658" w:rsidRPr="00F824B6">
        <w:rPr>
          <w:rFonts w:asciiTheme="majorHAnsi" w:hAnsiTheme="majorHAnsi"/>
        </w:rPr>
        <w:t xml:space="preserve"> </w:t>
      </w:r>
      <w:r w:rsidR="00B45658">
        <w:rPr>
          <w:rFonts w:asciiTheme="majorHAnsi" w:hAnsiTheme="majorHAnsi"/>
        </w:rPr>
        <w:t>Nadzornog</w:t>
      </w:r>
      <w:r w:rsidR="00B45658" w:rsidRPr="00F824B6">
        <w:rPr>
          <w:rFonts w:asciiTheme="majorHAnsi" w:hAnsiTheme="majorHAnsi"/>
        </w:rPr>
        <w:t xml:space="preserve"> odbor</w:t>
      </w:r>
      <w:r w:rsidR="00B45658">
        <w:rPr>
          <w:rFonts w:asciiTheme="majorHAnsi" w:hAnsiTheme="majorHAnsi"/>
        </w:rPr>
        <w:t>a</w:t>
      </w:r>
      <w:r w:rsidR="00B45658" w:rsidRPr="00F824B6">
        <w:rPr>
          <w:rFonts w:asciiTheme="majorHAnsi" w:hAnsiTheme="majorHAnsi"/>
        </w:rPr>
        <w:t>:</w:t>
      </w:r>
    </w:p>
    <w:p w:rsidR="00B45658" w:rsidRPr="00F824B6" w:rsidRDefault="00B45658" w:rsidP="0080140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Damir Barna, dipl. oec. </w:t>
      </w:r>
    </w:p>
    <w:sectPr w:rsidR="00B45658" w:rsidRPr="00F824B6" w:rsidSect="00F824B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3C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15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CD6"/>
    <w:multiLevelType w:val="hybridMultilevel"/>
    <w:tmpl w:val="35A8E334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91C"/>
    <w:multiLevelType w:val="hybridMultilevel"/>
    <w:tmpl w:val="38B4A3DA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548C54C2"/>
    <w:multiLevelType w:val="hybridMultilevel"/>
    <w:tmpl w:val="8276653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7C3C77"/>
    <w:multiLevelType w:val="hybridMultilevel"/>
    <w:tmpl w:val="E76A548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DA8"/>
    <w:rsid w:val="000B2048"/>
    <w:rsid w:val="000F35B7"/>
    <w:rsid w:val="003153C7"/>
    <w:rsid w:val="00360714"/>
    <w:rsid w:val="00361A4F"/>
    <w:rsid w:val="003E2D45"/>
    <w:rsid w:val="00406FC6"/>
    <w:rsid w:val="00421DF7"/>
    <w:rsid w:val="0044447D"/>
    <w:rsid w:val="00512582"/>
    <w:rsid w:val="005E00FC"/>
    <w:rsid w:val="00641D19"/>
    <w:rsid w:val="006820C5"/>
    <w:rsid w:val="00683932"/>
    <w:rsid w:val="006C5EAB"/>
    <w:rsid w:val="00737842"/>
    <w:rsid w:val="00755BD2"/>
    <w:rsid w:val="00755E5B"/>
    <w:rsid w:val="00801407"/>
    <w:rsid w:val="00821DA8"/>
    <w:rsid w:val="008321DA"/>
    <w:rsid w:val="008335E6"/>
    <w:rsid w:val="00856944"/>
    <w:rsid w:val="00882761"/>
    <w:rsid w:val="008937CF"/>
    <w:rsid w:val="008D2EA4"/>
    <w:rsid w:val="00934F76"/>
    <w:rsid w:val="00952BE7"/>
    <w:rsid w:val="009A3692"/>
    <w:rsid w:val="00A04085"/>
    <w:rsid w:val="00AA06B9"/>
    <w:rsid w:val="00AB4335"/>
    <w:rsid w:val="00AE113E"/>
    <w:rsid w:val="00AF0658"/>
    <w:rsid w:val="00B2555D"/>
    <w:rsid w:val="00B45658"/>
    <w:rsid w:val="00B97D57"/>
    <w:rsid w:val="00BE44B2"/>
    <w:rsid w:val="00C448C4"/>
    <w:rsid w:val="00C84A02"/>
    <w:rsid w:val="00DE6ECD"/>
    <w:rsid w:val="00E10055"/>
    <w:rsid w:val="00E13D6E"/>
    <w:rsid w:val="00E90357"/>
    <w:rsid w:val="00EB15CA"/>
    <w:rsid w:val="00F824B6"/>
    <w:rsid w:val="00FA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DA8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DA8"/>
    <w:pPr>
      <w:ind w:left="720"/>
      <w:contextualSpacing/>
    </w:pPr>
  </w:style>
  <w:style w:type="paragraph" w:styleId="NoSpacing">
    <w:name w:val="No Spacing"/>
    <w:uiPriority w:val="1"/>
    <w:qFormat/>
    <w:rsid w:val="006C5EAB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13D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3D6E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Babić</dc:creator>
  <cp:lastModifiedBy>Marijana</cp:lastModifiedBy>
  <cp:revision>3</cp:revision>
  <cp:lastPrinted>2015-12-22T09:14:00Z</cp:lastPrinted>
  <dcterms:created xsi:type="dcterms:W3CDTF">2015-12-22T09:14:00Z</dcterms:created>
  <dcterms:modified xsi:type="dcterms:W3CDTF">2016-02-29T10:41:00Z</dcterms:modified>
</cp:coreProperties>
</file>