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EB" w:rsidRDefault="00FD21EB" w:rsidP="006E5B19">
      <w:pPr>
        <w:jc w:val="center"/>
        <w:rPr>
          <w:b/>
        </w:rPr>
      </w:pPr>
    </w:p>
    <w:p w:rsidR="006E5B19" w:rsidRDefault="006E5B19" w:rsidP="006E5B19">
      <w:pPr>
        <w:jc w:val="center"/>
        <w:rPr>
          <w:b/>
        </w:rPr>
      </w:pPr>
      <w:r>
        <w:rPr>
          <w:b/>
        </w:rPr>
        <w:t xml:space="preserve">GODIŠNJE FINANCIJSKO IZVJEŠĆE </w:t>
      </w:r>
    </w:p>
    <w:p w:rsidR="006E5B19" w:rsidRDefault="006E5B19" w:rsidP="006E5B19">
      <w:pPr>
        <w:jc w:val="center"/>
        <w:rPr>
          <w:b/>
        </w:rPr>
      </w:pPr>
      <w:r>
        <w:rPr>
          <w:b/>
        </w:rPr>
        <w:t>Izvješće o ostva</w:t>
      </w:r>
      <w:r w:rsidR="00B52289">
        <w:rPr>
          <w:b/>
        </w:rPr>
        <w:t>renju Godišnjeg programa rada  s</w:t>
      </w:r>
      <w:r>
        <w:rPr>
          <w:b/>
        </w:rPr>
        <w:t xml:space="preserve"> financijskog izvješćem za 201</w:t>
      </w:r>
      <w:r w:rsidR="006D752B">
        <w:rPr>
          <w:b/>
        </w:rPr>
        <w:t>3</w:t>
      </w:r>
      <w:r>
        <w:rPr>
          <w:b/>
        </w:rPr>
        <w:t>.g.</w:t>
      </w:r>
    </w:p>
    <w:p w:rsidR="006E5B19" w:rsidRDefault="006E5B19" w:rsidP="006E5B19">
      <w:pPr>
        <w:jc w:val="center"/>
        <w:rPr>
          <w:b/>
        </w:rPr>
      </w:pPr>
    </w:p>
    <w:p w:rsidR="006E5B19" w:rsidRDefault="006E5B19" w:rsidP="006E5B19">
      <w:pPr>
        <w:jc w:val="center"/>
        <w:rPr>
          <w:b/>
        </w:rPr>
      </w:pPr>
    </w:p>
    <w:p w:rsidR="006E5B19" w:rsidRDefault="006E5B19" w:rsidP="006E5B19">
      <w:pPr>
        <w:jc w:val="both"/>
      </w:pPr>
      <w:r>
        <w:t>U 201</w:t>
      </w:r>
      <w:r w:rsidR="006D752B">
        <w:t>3</w:t>
      </w:r>
      <w:r>
        <w:t xml:space="preserve">.g. Turistička zajednica grada Vukovara izvršavala je zadaće TZ propisane Zakonom o TZ i zacrtane Statutom TZ i Programom rada koji je usvojilo Turističko vijeće i Skupština TZ, u zakonski propisanom roku. </w:t>
      </w:r>
    </w:p>
    <w:p w:rsidR="006E5B19" w:rsidRDefault="006E5B19" w:rsidP="006E5B19">
      <w:pPr>
        <w:jc w:val="both"/>
      </w:pPr>
    </w:p>
    <w:p w:rsidR="006E5B19" w:rsidRDefault="006E5B19" w:rsidP="006E5B19">
      <w:pPr>
        <w:jc w:val="both"/>
      </w:pPr>
    </w:p>
    <w:p w:rsidR="006E5B19" w:rsidRDefault="006E5B19" w:rsidP="006E5B19">
      <w:pPr>
        <w:jc w:val="center"/>
        <w:rPr>
          <w:b/>
        </w:rPr>
      </w:pPr>
    </w:p>
    <w:p w:rsidR="006E5B19" w:rsidRDefault="006E5B19" w:rsidP="006E5B19">
      <w:pPr>
        <w:jc w:val="both"/>
      </w:pPr>
      <w:r>
        <w:t>U 201</w:t>
      </w:r>
      <w:r w:rsidR="00D0588D">
        <w:t>3</w:t>
      </w:r>
      <w:r>
        <w:t>.g. prihodi Turističke zajednice planirani su i ostvareni prema sljedećoj strukturi:</w:t>
      </w:r>
    </w:p>
    <w:p w:rsidR="006E5B19" w:rsidRDefault="006E5B19" w:rsidP="006E5B19">
      <w:pPr>
        <w:jc w:val="both"/>
      </w:pPr>
    </w:p>
    <w:tbl>
      <w:tblPr>
        <w:tblW w:w="10633" w:type="dxa"/>
        <w:tblCellSpacing w:w="20" w:type="dxa"/>
        <w:tblInd w:w="-54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</w:tblBorders>
        <w:tblLayout w:type="fixed"/>
        <w:tblLook w:val="0000"/>
      </w:tblPr>
      <w:tblGrid>
        <w:gridCol w:w="710"/>
        <w:gridCol w:w="2700"/>
        <w:gridCol w:w="1800"/>
        <w:gridCol w:w="1885"/>
        <w:gridCol w:w="1553"/>
        <w:gridCol w:w="993"/>
        <w:gridCol w:w="992"/>
      </w:tblGrid>
      <w:tr w:rsidR="006E5B19" w:rsidRPr="00B52289" w:rsidTr="00B52289">
        <w:trPr>
          <w:tblCellSpacing w:w="20" w:type="dxa"/>
        </w:trPr>
        <w:tc>
          <w:tcPr>
            <w:tcW w:w="650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6E5B19" w:rsidRPr="00B52289" w:rsidRDefault="006E5B19" w:rsidP="006C2572">
            <w:pPr>
              <w:rPr>
                <w:b/>
                <w:bCs/>
                <w:lang w:eastAsia="en-US"/>
              </w:rPr>
            </w:pPr>
            <w:r w:rsidRPr="00B52289">
              <w:rPr>
                <w:b/>
                <w:bCs/>
              </w:rPr>
              <w:t>red.broj</w:t>
            </w:r>
          </w:p>
        </w:tc>
        <w:tc>
          <w:tcPr>
            <w:tcW w:w="26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5B19" w:rsidRPr="00B52289" w:rsidRDefault="006E5B19" w:rsidP="006C2572">
            <w:pPr>
              <w:rPr>
                <w:b/>
                <w:bCs/>
                <w:lang w:eastAsia="en-US"/>
              </w:rPr>
            </w:pPr>
            <w:r w:rsidRPr="00B52289">
              <w:rPr>
                <w:b/>
                <w:bCs/>
              </w:rPr>
              <w:t>opis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:rsidR="006E5B19" w:rsidRPr="00B52289" w:rsidRDefault="006E5B19" w:rsidP="00D0588D">
            <w:pPr>
              <w:rPr>
                <w:b/>
                <w:bCs/>
                <w:lang w:eastAsia="en-US"/>
              </w:rPr>
            </w:pPr>
            <w:r w:rsidRPr="00B52289">
              <w:rPr>
                <w:b/>
                <w:bCs/>
              </w:rPr>
              <w:t>Planirano u 201</w:t>
            </w:r>
            <w:r w:rsidR="00D0588D" w:rsidRPr="00B52289">
              <w:rPr>
                <w:b/>
                <w:bCs/>
              </w:rPr>
              <w:t>3</w:t>
            </w:r>
            <w:r w:rsidRPr="00B52289">
              <w:rPr>
                <w:b/>
                <w:bCs/>
              </w:rPr>
              <w:t>.g.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6E5B19" w:rsidRPr="00B52289" w:rsidRDefault="006E5B19" w:rsidP="006C2572">
            <w:pPr>
              <w:jc w:val="center"/>
              <w:rPr>
                <w:b/>
                <w:bCs/>
              </w:rPr>
            </w:pPr>
            <w:r w:rsidRPr="00B52289">
              <w:rPr>
                <w:b/>
                <w:bCs/>
              </w:rPr>
              <w:t>Novi plan</w:t>
            </w:r>
          </w:p>
          <w:p w:rsidR="006E5B19" w:rsidRPr="00B52289" w:rsidRDefault="006E5B19" w:rsidP="006C2572">
            <w:pPr>
              <w:jc w:val="center"/>
              <w:rPr>
                <w:b/>
                <w:bCs/>
              </w:rPr>
            </w:pPr>
            <w:r w:rsidRPr="00B52289">
              <w:rPr>
                <w:b/>
                <w:bCs/>
              </w:rPr>
              <w:t>(rebalans)</w:t>
            </w:r>
          </w:p>
        </w:tc>
        <w:tc>
          <w:tcPr>
            <w:tcW w:w="1513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6E5B19" w:rsidRPr="00B52289" w:rsidRDefault="006E5B19" w:rsidP="00D0588D">
            <w:pPr>
              <w:jc w:val="center"/>
              <w:rPr>
                <w:b/>
                <w:bCs/>
              </w:rPr>
            </w:pPr>
            <w:r w:rsidRPr="00B52289">
              <w:rPr>
                <w:b/>
                <w:bCs/>
              </w:rPr>
              <w:t>Ostvareno u 201</w:t>
            </w:r>
            <w:r w:rsidR="00D0588D" w:rsidRPr="00B52289">
              <w:rPr>
                <w:b/>
                <w:bCs/>
              </w:rPr>
              <w:t>3</w:t>
            </w:r>
            <w:r w:rsidRPr="00B52289">
              <w:rPr>
                <w:b/>
                <w:bCs/>
              </w:rPr>
              <w:t>.g.</w:t>
            </w:r>
          </w:p>
        </w:tc>
        <w:tc>
          <w:tcPr>
            <w:tcW w:w="9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6E5B19" w:rsidRPr="00B52289" w:rsidRDefault="006E5B19" w:rsidP="006C2572">
            <w:pPr>
              <w:jc w:val="center"/>
              <w:rPr>
                <w:b/>
                <w:bCs/>
              </w:rPr>
            </w:pPr>
            <w:r w:rsidRPr="00B52289">
              <w:rPr>
                <w:b/>
                <w:bCs/>
              </w:rPr>
              <w:t>Index</w:t>
            </w:r>
          </w:p>
        </w:tc>
        <w:tc>
          <w:tcPr>
            <w:tcW w:w="9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6E5B19" w:rsidRPr="00B52289" w:rsidRDefault="006E5B19" w:rsidP="006C2572">
            <w:pPr>
              <w:jc w:val="center"/>
              <w:rPr>
                <w:b/>
                <w:bCs/>
              </w:rPr>
            </w:pPr>
            <w:r w:rsidRPr="00B52289">
              <w:rPr>
                <w:b/>
                <w:bCs/>
              </w:rPr>
              <w:t>%</w:t>
            </w:r>
          </w:p>
          <w:p w:rsidR="006E5B19" w:rsidRPr="00B52289" w:rsidRDefault="006E5B19" w:rsidP="006C2572">
            <w:pPr>
              <w:jc w:val="center"/>
              <w:rPr>
                <w:b/>
                <w:bCs/>
              </w:rPr>
            </w:pPr>
            <w:r w:rsidRPr="00B52289">
              <w:rPr>
                <w:b/>
                <w:bCs/>
              </w:rPr>
              <w:t>učešća</w:t>
            </w:r>
          </w:p>
        </w:tc>
      </w:tr>
      <w:tr w:rsidR="006E5B19" w:rsidRPr="00B52289" w:rsidTr="00B52289">
        <w:trPr>
          <w:tblCellSpacing w:w="20" w:type="dxa"/>
        </w:trPr>
        <w:tc>
          <w:tcPr>
            <w:tcW w:w="650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6E5B19" w:rsidRPr="00B52289" w:rsidRDefault="006E5B19" w:rsidP="006C2572">
            <w:pPr>
              <w:rPr>
                <w:b/>
                <w:bCs/>
                <w:lang w:eastAsia="en-US"/>
              </w:rPr>
            </w:pPr>
            <w:r w:rsidRPr="00B52289">
              <w:t> </w:t>
            </w:r>
          </w:p>
        </w:tc>
        <w:tc>
          <w:tcPr>
            <w:tcW w:w="26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5B19" w:rsidRPr="00B52289" w:rsidRDefault="006E5B19" w:rsidP="006C2572">
            <w:pPr>
              <w:pStyle w:val="Heading1"/>
              <w:rPr>
                <w:sz w:val="24"/>
                <w:szCs w:val="24"/>
              </w:rPr>
            </w:pPr>
            <w:r w:rsidRPr="00B52289">
              <w:rPr>
                <w:sz w:val="24"/>
                <w:szCs w:val="24"/>
              </w:rPr>
              <w:t>PRIHODI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:rsidR="006E5B19" w:rsidRPr="00B52289" w:rsidRDefault="007A6216" w:rsidP="006C2572">
            <w:pPr>
              <w:jc w:val="center"/>
              <w:rPr>
                <w:b/>
                <w:bCs/>
                <w:lang w:eastAsia="en-US"/>
              </w:rPr>
            </w:pPr>
            <w:r w:rsidRPr="00B52289">
              <w:rPr>
                <w:b/>
                <w:color w:val="000000"/>
              </w:rPr>
              <w:t>1.442.000,00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6E5B19" w:rsidRPr="00B52289" w:rsidRDefault="00B52289" w:rsidP="001D5E85">
            <w:pPr>
              <w:jc w:val="right"/>
              <w:rPr>
                <w:b/>
                <w:bCs/>
                <w:lang w:eastAsia="en-US"/>
              </w:rPr>
            </w:pPr>
            <w:r w:rsidRPr="00B52289">
              <w:rPr>
                <w:b/>
              </w:rPr>
              <w:t>880.302,96</w:t>
            </w:r>
          </w:p>
        </w:tc>
        <w:tc>
          <w:tcPr>
            <w:tcW w:w="1513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6E5B19" w:rsidRPr="00B52289" w:rsidRDefault="00B52289" w:rsidP="009E63CC">
            <w:pPr>
              <w:jc w:val="center"/>
              <w:rPr>
                <w:b/>
                <w:bCs/>
                <w:lang w:eastAsia="en-US"/>
              </w:rPr>
            </w:pPr>
            <w:r w:rsidRPr="00B52289">
              <w:rPr>
                <w:b/>
                <w:bCs/>
                <w:lang w:eastAsia="en-US"/>
              </w:rPr>
              <w:t>957.731,01</w:t>
            </w:r>
          </w:p>
        </w:tc>
        <w:tc>
          <w:tcPr>
            <w:tcW w:w="9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6E5B19" w:rsidRPr="00B52289" w:rsidRDefault="00626EFD" w:rsidP="007A6216">
            <w:pPr>
              <w:jc w:val="center"/>
              <w:rPr>
                <w:b/>
                <w:bCs/>
                <w:lang w:eastAsia="en-US"/>
              </w:rPr>
            </w:pPr>
            <w:r w:rsidRPr="00B52289">
              <w:rPr>
                <w:b/>
                <w:bCs/>
                <w:lang w:eastAsia="en-US"/>
              </w:rPr>
              <w:t>10</w:t>
            </w:r>
            <w:r w:rsidR="007A6216">
              <w:rPr>
                <w:b/>
                <w:bCs/>
                <w:lang w:eastAsia="en-US"/>
              </w:rPr>
              <w:t>8,8</w:t>
            </w:r>
          </w:p>
        </w:tc>
        <w:tc>
          <w:tcPr>
            <w:tcW w:w="9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6E5B19" w:rsidRPr="00B52289" w:rsidRDefault="00626EFD" w:rsidP="006C2572">
            <w:pPr>
              <w:jc w:val="center"/>
              <w:rPr>
                <w:b/>
                <w:bCs/>
                <w:lang w:eastAsia="en-US"/>
              </w:rPr>
            </w:pPr>
            <w:r w:rsidRPr="00B52289">
              <w:rPr>
                <w:b/>
                <w:bCs/>
                <w:lang w:eastAsia="en-US"/>
              </w:rPr>
              <w:t>100.00</w:t>
            </w:r>
          </w:p>
        </w:tc>
      </w:tr>
      <w:tr w:rsidR="000707DC" w:rsidRPr="000707DC" w:rsidTr="00220EB0">
        <w:trPr>
          <w:tblCellSpacing w:w="20" w:type="dxa"/>
        </w:trPr>
        <w:tc>
          <w:tcPr>
            <w:tcW w:w="650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>
            <w:pPr>
              <w:rPr>
                <w:b/>
                <w:lang w:eastAsia="en-US"/>
              </w:rPr>
            </w:pPr>
            <w:r w:rsidRPr="00B52289">
              <w:rPr>
                <w:b/>
              </w:rPr>
              <w:t>1.</w:t>
            </w:r>
          </w:p>
        </w:tc>
        <w:tc>
          <w:tcPr>
            <w:tcW w:w="26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>
            <w:pPr>
              <w:rPr>
                <w:b/>
                <w:lang w:eastAsia="en-US"/>
              </w:rPr>
            </w:pPr>
            <w:r w:rsidRPr="00B52289">
              <w:rPr>
                <w:b/>
              </w:rPr>
              <w:t>od boravišne pristojbe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vAlign w:val="bottom"/>
          </w:tcPr>
          <w:p w:rsidR="000707DC" w:rsidRPr="00B52289" w:rsidRDefault="000707DC">
            <w:pPr>
              <w:jc w:val="right"/>
              <w:rPr>
                <w:b/>
                <w:color w:val="000000"/>
              </w:rPr>
            </w:pPr>
            <w:r w:rsidRPr="00B52289">
              <w:rPr>
                <w:b/>
                <w:color w:val="000000"/>
              </w:rPr>
              <w:t>39.000,00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0707DC" w:rsidRPr="00B52289" w:rsidRDefault="000707DC" w:rsidP="003A6AA7">
            <w:pPr>
              <w:jc w:val="right"/>
              <w:rPr>
                <w:b/>
                <w:lang w:eastAsia="en-US"/>
              </w:rPr>
            </w:pPr>
            <w:r w:rsidRPr="00B52289">
              <w:rPr>
                <w:b/>
                <w:lang w:eastAsia="en-US"/>
              </w:rPr>
              <w:t>67.000,00</w:t>
            </w:r>
          </w:p>
        </w:tc>
        <w:tc>
          <w:tcPr>
            <w:tcW w:w="1513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0707DC" w:rsidRPr="00B52289" w:rsidRDefault="000707DC" w:rsidP="000E0263">
            <w:pPr>
              <w:jc w:val="right"/>
              <w:rPr>
                <w:b/>
                <w:lang w:eastAsia="en-US"/>
              </w:rPr>
            </w:pPr>
            <w:r w:rsidRPr="00B52289">
              <w:rPr>
                <w:b/>
                <w:lang w:eastAsia="en-US"/>
              </w:rPr>
              <w:t>69.474,60</w:t>
            </w:r>
          </w:p>
        </w:tc>
        <w:tc>
          <w:tcPr>
            <w:tcW w:w="9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0707DC" w:rsidRPr="00B52289" w:rsidRDefault="000707DC">
            <w:pPr>
              <w:jc w:val="right"/>
              <w:rPr>
                <w:b/>
                <w:bCs/>
                <w:color w:val="000000"/>
              </w:rPr>
            </w:pPr>
            <w:r w:rsidRPr="00B52289">
              <w:rPr>
                <w:b/>
                <w:bCs/>
                <w:color w:val="000000"/>
              </w:rPr>
              <w:t>103,7</w:t>
            </w:r>
          </w:p>
        </w:tc>
        <w:tc>
          <w:tcPr>
            <w:tcW w:w="9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0707DC" w:rsidRPr="000707DC" w:rsidRDefault="000707DC">
            <w:pPr>
              <w:jc w:val="right"/>
              <w:rPr>
                <w:b/>
                <w:bCs/>
                <w:color w:val="000000"/>
              </w:rPr>
            </w:pPr>
            <w:r w:rsidRPr="000707DC">
              <w:rPr>
                <w:b/>
                <w:bCs/>
                <w:color w:val="000000"/>
              </w:rPr>
              <w:t>7,25</w:t>
            </w:r>
          </w:p>
        </w:tc>
      </w:tr>
      <w:tr w:rsidR="000707DC" w:rsidRPr="000707DC" w:rsidTr="00220EB0">
        <w:trPr>
          <w:tblCellSpacing w:w="20" w:type="dxa"/>
        </w:trPr>
        <w:tc>
          <w:tcPr>
            <w:tcW w:w="650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>
            <w:pPr>
              <w:rPr>
                <w:b/>
                <w:lang w:eastAsia="en-US"/>
              </w:rPr>
            </w:pPr>
            <w:r w:rsidRPr="00B52289">
              <w:rPr>
                <w:b/>
              </w:rPr>
              <w:t>2.</w:t>
            </w:r>
          </w:p>
        </w:tc>
        <w:tc>
          <w:tcPr>
            <w:tcW w:w="26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>
            <w:pPr>
              <w:rPr>
                <w:b/>
                <w:lang w:eastAsia="en-US"/>
              </w:rPr>
            </w:pPr>
            <w:r w:rsidRPr="00B52289">
              <w:rPr>
                <w:b/>
              </w:rPr>
              <w:t>od turističke članarine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vAlign w:val="bottom"/>
          </w:tcPr>
          <w:p w:rsidR="000707DC" w:rsidRPr="00B52289" w:rsidRDefault="000707DC">
            <w:pPr>
              <w:jc w:val="right"/>
              <w:rPr>
                <w:b/>
                <w:color w:val="000000"/>
              </w:rPr>
            </w:pPr>
            <w:r w:rsidRPr="00B52289">
              <w:rPr>
                <w:b/>
                <w:color w:val="000000"/>
              </w:rPr>
              <w:t>400.000,00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0707DC" w:rsidRPr="00B52289" w:rsidRDefault="000707DC" w:rsidP="003A6AA7">
            <w:pPr>
              <w:jc w:val="right"/>
              <w:rPr>
                <w:b/>
                <w:lang w:eastAsia="en-US"/>
              </w:rPr>
            </w:pPr>
            <w:r w:rsidRPr="00B52289">
              <w:rPr>
                <w:b/>
                <w:lang w:eastAsia="en-US"/>
              </w:rPr>
              <w:t>280.000,00</w:t>
            </w:r>
          </w:p>
        </w:tc>
        <w:tc>
          <w:tcPr>
            <w:tcW w:w="1513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0707DC" w:rsidRPr="00B52289" w:rsidRDefault="000707DC" w:rsidP="000E0263">
            <w:pPr>
              <w:jc w:val="right"/>
              <w:rPr>
                <w:b/>
                <w:lang w:eastAsia="en-US"/>
              </w:rPr>
            </w:pPr>
            <w:r w:rsidRPr="00B52289">
              <w:rPr>
                <w:b/>
                <w:lang w:eastAsia="en-US"/>
              </w:rPr>
              <w:t>328.202,31</w:t>
            </w:r>
          </w:p>
        </w:tc>
        <w:tc>
          <w:tcPr>
            <w:tcW w:w="9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0707DC" w:rsidRPr="00B52289" w:rsidRDefault="000707DC">
            <w:pPr>
              <w:jc w:val="right"/>
              <w:rPr>
                <w:b/>
                <w:bCs/>
                <w:color w:val="000000"/>
              </w:rPr>
            </w:pPr>
            <w:r w:rsidRPr="00B52289">
              <w:rPr>
                <w:b/>
                <w:bCs/>
                <w:color w:val="000000"/>
              </w:rPr>
              <w:t>117,2</w:t>
            </w:r>
          </w:p>
        </w:tc>
        <w:tc>
          <w:tcPr>
            <w:tcW w:w="9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0707DC" w:rsidRPr="000707DC" w:rsidRDefault="000707DC">
            <w:pPr>
              <w:jc w:val="right"/>
              <w:rPr>
                <w:b/>
                <w:bCs/>
                <w:color w:val="000000"/>
              </w:rPr>
            </w:pPr>
            <w:r w:rsidRPr="000707DC">
              <w:rPr>
                <w:b/>
                <w:bCs/>
                <w:color w:val="000000"/>
              </w:rPr>
              <w:t>34,27</w:t>
            </w:r>
          </w:p>
        </w:tc>
      </w:tr>
      <w:tr w:rsidR="000707DC" w:rsidRPr="000707DC" w:rsidTr="00220EB0">
        <w:trPr>
          <w:tblCellSpacing w:w="20" w:type="dxa"/>
        </w:trPr>
        <w:tc>
          <w:tcPr>
            <w:tcW w:w="650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>
            <w:pPr>
              <w:rPr>
                <w:b/>
                <w:lang w:eastAsia="en-US"/>
              </w:rPr>
            </w:pPr>
            <w:r w:rsidRPr="00B52289">
              <w:rPr>
                <w:b/>
              </w:rPr>
              <w:t>3.</w:t>
            </w:r>
          </w:p>
        </w:tc>
        <w:tc>
          <w:tcPr>
            <w:tcW w:w="26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>
            <w:pPr>
              <w:rPr>
                <w:b/>
                <w:lang w:eastAsia="en-US"/>
              </w:rPr>
            </w:pPr>
            <w:r w:rsidRPr="00B52289">
              <w:rPr>
                <w:b/>
              </w:rPr>
              <w:t>iz gradskog proračuna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vAlign w:val="bottom"/>
          </w:tcPr>
          <w:p w:rsidR="000707DC" w:rsidRPr="00B52289" w:rsidRDefault="000707DC">
            <w:pPr>
              <w:jc w:val="right"/>
              <w:rPr>
                <w:b/>
                <w:color w:val="000000"/>
              </w:rPr>
            </w:pPr>
            <w:r w:rsidRPr="00B52289">
              <w:rPr>
                <w:b/>
                <w:color w:val="000000"/>
              </w:rPr>
              <w:t>580.000,00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0707DC" w:rsidRPr="00B52289" w:rsidRDefault="000707DC" w:rsidP="003A6AA7">
            <w:pPr>
              <w:jc w:val="right"/>
              <w:rPr>
                <w:b/>
                <w:lang w:eastAsia="en-US"/>
              </w:rPr>
            </w:pPr>
            <w:r w:rsidRPr="00B52289">
              <w:rPr>
                <w:b/>
                <w:lang w:eastAsia="en-US"/>
              </w:rPr>
              <w:t>363.500,00</w:t>
            </w:r>
          </w:p>
        </w:tc>
        <w:tc>
          <w:tcPr>
            <w:tcW w:w="1513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0707DC" w:rsidRPr="00B52289" w:rsidRDefault="000707DC" w:rsidP="000E0263">
            <w:pPr>
              <w:jc w:val="right"/>
              <w:rPr>
                <w:b/>
                <w:lang w:eastAsia="en-US"/>
              </w:rPr>
            </w:pPr>
            <w:r w:rsidRPr="00B52289">
              <w:rPr>
                <w:b/>
                <w:lang w:eastAsia="en-US"/>
              </w:rPr>
              <w:t>386.528,65</w:t>
            </w:r>
          </w:p>
        </w:tc>
        <w:tc>
          <w:tcPr>
            <w:tcW w:w="9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0707DC" w:rsidRPr="00B52289" w:rsidRDefault="000707DC">
            <w:pPr>
              <w:jc w:val="right"/>
              <w:rPr>
                <w:b/>
                <w:bCs/>
                <w:color w:val="000000"/>
              </w:rPr>
            </w:pPr>
            <w:r w:rsidRPr="00B52289">
              <w:rPr>
                <w:b/>
                <w:bCs/>
                <w:color w:val="000000"/>
              </w:rPr>
              <w:t>106,3</w:t>
            </w:r>
          </w:p>
        </w:tc>
        <w:tc>
          <w:tcPr>
            <w:tcW w:w="9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0707DC" w:rsidRPr="000707DC" w:rsidRDefault="000707DC">
            <w:pPr>
              <w:jc w:val="right"/>
              <w:rPr>
                <w:b/>
                <w:bCs/>
                <w:color w:val="000000"/>
              </w:rPr>
            </w:pPr>
            <w:r w:rsidRPr="000707DC">
              <w:rPr>
                <w:b/>
                <w:bCs/>
                <w:color w:val="000000"/>
              </w:rPr>
              <w:t>40,36</w:t>
            </w:r>
          </w:p>
        </w:tc>
      </w:tr>
      <w:tr w:rsidR="000707DC" w:rsidRPr="00B52289" w:rsidTr="00802D18">
        <w:trPr>
          <w:trHeight w:val="81"/>
          <w:tblCellSpacing w:w="20" w:type="dxa"/>
        </w:trPr>
        <w:tc>
          <w:tcPr>
            <w:tcW w:w="650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>
            <w:pPr>
              <w:rPr>
                <w:b/>
              </w:rPr>
            </w:pPr>
            <w:r w:rsidRPr="00B52289">
              <w:rPr>
                <w:b/>
              </w:rPr>
              <w:t>4.</w:t>
            </w:r>
          </w:p>
        </w:tc>
        <w:tc>
          <w:tcPr>
            <w:tcW w:w="26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>
            <w:pPr>
              <w:tabs>
                <w:tab w:val="left" w:pos="2715"/>
              </w:tabs>
              <w:rPr>
                <w:b/>
              </w:rPr>
            </w:pPr>
            <w:r w:rsidRPr="00B52289">
              <w:rPr>
                <w:b/>
              </w:rPr>
              <w:t>Prihodi od drugih aktivnosti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vAlign w:val="bottom"/>
          </w:tcPr>
          <w:p w:rsidR="000707DC" w:rsidRPr="00B52289" w:rsidRDefault="000707DC">
            <w:pPr>
              <w:jc w:val="right"/>
              <w:rPr>
                <w:b/>
                <w:color w:val="000000"/>
              </w:rPr>
            </w:pPr>
            <w:r w:rsidRPr="00B52289">
              <w:rPr>
                <w:b/>
                <w:color w:val="000000"/>
              </w:rPr>
              <w:t>363.000,00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0707DC" w:rsidRDefault="000707DC" w:rsidP="001F2896">
            <w:pPr>
              <w:jc w:val="right"/>
              <w:rPr>
                <w:b/>
                <w:lang w:eastAsia="en-US"/>
              </w:rPr>
            </w:pPr>
          </w:p>
          <w:p w:rsidR="000707DC" w:rsidRPr="00B52289" w:rsidRDefault="000707DC" w:rsidP="001F2896">
            <w:pPr>
              <w:jc w:val="right"/>
              <w:rPr>
                <w:b/>
                <w:lang w:eastAsia="en-US"/>
              </w:rPr>
            </w:pPr>
            <w:r w:rsidRPr="00B52289">
              <w:rPr>
                <w:b/>
                <w:lang w:eastAsia="en-US"/>
              </w:rPr>
              <w:t>146.802,96</w:t>
            </w:r>
          </w:p>
        </w:tc>
        <w:tc>
          <w:tcPr>
            <w:tcW w:w="1513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0707DC" w:rsidRDefault="000707DC" w:rsidP="000E0263">
            <w:pPr>
              <w:jc w:val="right"/>
              <w:rPr>
                <w:b/>
                <w:lang w:eastAsia="en-US"/>
              </w:rPr>
            </w:pPr>
          </w:p>
          <w:p w:rsidR="000707DC" w:rsidRPr="00B52289" w:rsidRDefault="000707DC" w:rsidP="000E0263">
            <w:pPr>
              <w:jc w:val="right"/>
              <w:rPr>
                <w:b/>
                <w:lang w:eastAsia="en-US"/>
              </w:rPr>
            </w:pPr>
            <w:r w:rsidRPr="00B52289">
              <w:rPr>
                <w:b/>
                <w:lang w:eastAsia="en-US"/>
              </w:rPr>
              <w:t>147.546,77</w:t>
            </w:r>
          </w:p>
        </w:tc>
        <w:tc>
          <w:tcPr>
            <w:tcW w:w="9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0707DC" w:rsidRDefault="000707DC" w:rsidP="006C2572">
            <w:pPr>
              <w:jc w:val="center"/>
              <w:rPr>
                <w:b/>
                <w:lang w:eastAsia="en-US"/>
              </w:rPr>
            </w:pPr>
          </w:p>
          <w:p w:rsidR="000707DC" w:rsidRPr="00B52289" w:rsidRDefault="000707DC" w:rsidP="006C257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100,5</w:t>
            </w:r>
          </w:p>
        </w:tc>
        <w:tc>
          <w:tcPr>
            <w:tcW w:w="9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0707DC" w:rsidRPr="000707DC" w:rsidRDefault="000707DC">
            <w:pPr>
              <w:jc w:val="right"/>
              <w:rPr>
                <w:b/>
                <w:bCs/>
                <w:color w:val="000000"/>
              </w:rPr>
            </w:pPr>
            <w:r w:rsidRPr="000707DC">
              <w:rPr>
                <w:b/>
                <w:bCs/>
                <w:color w:val="000000"/>
              </w:rPr>
              <w:t>15,41</w:t>
            </w:r>
          </w:p>
        </w:tc>
      </w:tr>
      <w:tr w:rsidR="000707DC" w:rsidRPr="00B52289" w:rsidTr="00802D18">
        <w:trPr>
          <w:trHeight w:val="81"/>
          <w:tblCellSpacing w:w="20" w:type="dxa"/>
        </w:trPr>
        <w:tc>
          <w:tcPr>
            <w:tcW w:w="650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/>
        </w:tc>
        <w:tc>
          <w:tcPr>
            <w:tcW w:w="26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>
            <w:pPr>
              <w:tabs>
                <w:tab w:val="left" w:pos="2715"/>
              </w:tabs>
            </w:pPr>
            <w:r w:rsidRPr="00B52289">
              <w:t>Transfer od TZ VSŽ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vAlign w:val="bottom"/>
          </w:tcPr>
          <w:p w:rsidR="000707DC" w:rsidRPr="00B52289" w:rsidRDefault="000707DC">
            <w:pPr>
              <w:jc w:val="right"/>
              <w:rPr>
                <w:color w:val="000000"/>
              </w:rPr>
            </w:pPr>
            <w:r w:rsidRPr="00B52289">
              <w:rPr>
                <w:color w:val="000000"/>
              </w:rPr>
              <w:t>2.000,00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0707DC" w:rsidRPr="00B52289" w:rsidRDefault="000707DC" w:rsidP="001F2896">
            <w:pPr>
              <w:jc w:val="right"/>
              <w:rPr>
                <w:lang w:eastAsia="en-US"/>
              </w:rPr>
            </w:pPr>
            <w:r w:rsidRPr="00B52289">
              <w:rPr>
                <w:color w:val="000000"/>
              </w:rPr>
              <w:t>2.000,00</w:t>
            </w:r>
          </w:p>
        </w:tc>
        <w:tc>
          <w:tcPr>
            <w:tcW w:w="1513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0707DC" w:rsidRPr="00B52289" w:rsidRDefault="000707DC" w:rsidP="000E0263">
            <w:pPr>
              <w:jc w:val="right"/>
              <w:rPr>
                <w:lang w:eastAsia="en-US"/>
              </w:rPr>
            </w:pPr>
            <w:r w:rsidRPr="00B52289">
              <w:rPr>
                <w:lang w:eastAsia="en-US"/>
              </w:rPr>
              <w:t>-</w:t>
            </w:r>
          </w:p>
        </w:tc>
        <w:tc>
          <w:tcPr>
            <w:tcW w:w="9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0707DC" w:rsidRPr="00B52289" w:rsidRDefault="000707DC" w:rsidP="006C25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0707DC" w:rsidRPr="000707DC" w:rsidRDefault="000707DC">
            <w:pPr>
              <w:jc w:val="right"/>
              <w:rPr>
                <w:color w:val="000000"/>
              </w:rPr>
            </w:pPr>
            <w:r w:rsidRPr="000707DC">
              <w:rPr>
                <w:color w:val="000000"/>
              </w:rPr>
              <w:t xml:space="preserve">             -</w:t>
            </w:r>
          </w:p>
        </w:tc>
      </w:tr>
      <w:tr w:rsidR="000707DC" w:rsidRPr="00B52289" w:rsidTr="00802D18">
        <w:trPr>
          <w:trHeight w:val="421"/>
          <w:tblCellSpacing w:w="20" w:type="dxa"/>
        </w:trPr>
        <w:tc>
          <w:tcPr>
            <w:tcW w:w="650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>
            <w:pPr>
              <w:rPr>
                <w:lang w:eastAsia="en-US"/>
              </w:rPr>
            </w:pPr>
          </w:p>
        </w:tc>
        <w:tc>
          <w:tcPr>
            <w:tcW w:w="26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>
            <w:pPr>
              <w:tabs>
                <w:tab w:val="left" w:pos="2715"/>
              </w:tabs>
              <w:rPr>
                <w:lang w:eastAsia="en-US"/>
              </w:rPr>
            </w:pPr>
            <w:r w:rsidRPr="00B52289">
              <w:t xml:space="preserve">od transfera HTZ – a </w:t>
            </w:r>
            <w:r>
              <w:t xml:space="preserve">         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vAlign w:val="bottom"/>
          </w:tcPr>
          <w:p w:rsidR="000707DC" w:rsidRPr="00B52289" w:rsidRDefault="000707DC" w:rsidP="007A6216">
            <w:pPr>
              <w:jc w:val="right"/>
              <w:rPr>
                <w:color w:val="000000"/>
              </w:rPr>
            </w:pPr>
            <w:r w:rsidRPr="00B52289">
              <w:rPr>
                <w:color w:val="000000"/>
              </w:rPr>
              <w:t>230.000,00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0707DC" w:rsidRPr="00B52289" w:rsidRDefault="000707DC" w:rsidP="001627F5">
            <w:pPr>
              <w:jc w:val="right"/>
              <w:rPr>
                <w:lang w:eastAsia="en-US"/>
              </w:rPr>
            </w:pPr>
            <w:r w:rsidRPr="00B52289">
              <w:rPr>
                <w:lang w:eastAsia="en-US"/>
              </w:rPr>
              <w:t>74.500,00</w:t>
            </w:r>
          </w:p>
        </w:tc>
        <w:tc>
          <w:tcPr>
            <w:tcW w:w="1513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0707DC" w:rsidRPr="00B52289" w:rsidRDefault="000707DC" w:rsidP="000E0263">
            <w:pPr>
              <w:jc w:val="right"/>
              <w:rPr>
                <w:lang w:eastAsia="en-US"/>
              </w:rPr>
            </w:pPr>
            <w:r w:rsidRPr="00B52289">
              <w:rPr>
                <w:lang w:eastAsia="en-US"/>
              </w:rPr>
              <w:t>74.600,00</w:t>
            </w:r>
          </w:p>
        </w:tc>
        <w:tc>
          <w:tcPr>
            <w:tcW w:w="9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0707DC" w:rsidRPr="00B52289" w:rsidRDefault="000707DC">
            <w:pPr>
              <w:jc w:val="right"/>
              <w:rPr>
                <w:color w:val="000000"/>
              </w:rPr>
            </w:pPr>
            <w:r w:rsidRPr="00B52289">
              <w:rPr>
                <w:color w:val="000000"/>
              </w:rPr>
              <w:t>100,1</w:t>
            </w:r>
          </w:p>
        </w:tc>
        <w:tc>
          <w:tcPr>
            <w:tcW w:w="9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0707DC" w:rsidRPr="000707DC" w:rsidRDefault="000707DC">
            <w:pPr>
              <w:jc w:val="right"/>
              <w:rPr>
                <w:b/>
                <w:bCs/>
                <w:color w:val="000000"/>
              </w:rPr>
            </w:pPr>
            <w:r w:rsidRPr="000707DC">
              <w:rPr>
                <w:b/>
                <w:bCs/>
                <w:color w:val="000000"/>
              </w:rPr>
              <w:t>7,79</w:t>
            </w:r>
          </w:p>
        </w:tc>
      </w:tr>
      <w:tr w:rsidR="000707DC" w:rsidRPr="00B52289" w:rsidTr="00802D18">
        <w:trPr>
          <w:tblCellSpacing w:w="20" w:type="dxa"/>
        </w:trPr>
        <w:tc>
          <w:tcPr>
            <w:tcW w:w="650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>
            <w:pPr>
              <w:rPr>
                <w:lang w:eastAsia="en-US"/>
              </w:rPr>
            </w:pPr>
          </w:p>
        </w:tc>
        <w:tc>
          <w:tcPr>
            <w:tcW w:w="26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>
            <w:pPr>
              <w:rPr>
                <w:lang w:eastAsia="en-US"/>
              </w:rPr>
            </w:pPr>
            <w:r w:rsidRPr="00B52289">
              <w:t>prihodi od kamata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vAlign w:val="bottom"/>
          </w:tcPr>
          <w:p w:rsidR="000707DC" w:rsidRPr="00B52289" w:rsidRDefault="000707DC">
            <w:pPr>
              <w:jc w:val="right"/>
              <w:rPr>
                <w:color w:val="000000"/>
              </w:rPr>
            </w:pPr>
            <w:r w:rsidRPr="00B52289">
              <w:rPr>
                <w:color w:val="000000"/>
              </w:rPr>
              <w:t>1.000,00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0707DC" w:rsidRPr="00B52289" w:rsidRDefault="000707DC" w:rsidP="001627F5">
            <w:pPr>
              <w:jc w:val="right"/>
              <w:rPr>
                <w:lang w:eastAsia="en-US"/>
              </w:rPr>
            </w:pPr>
            <w:r w:rsidRPr="00B52289">
              <w:rPr>
                <w:lang w:eastAsia="en-US"/>
              </w:rPr>
              <w:t>302,96</w:t>
            </w:r>
          </w:p>
        </w:tc>
        <w:tc>
          <w:tcPr>
            <w:tcW w:w="1513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0707DC" w:rsidRPr="00B52289" w:rsidRDefault="000707DC" w:rsidP="000E0263">
            <w:pPr>
              <w:jc w:val="right"/>
              <w:rPr>
                <w:lang w:eastAsia="en-US"/>
              </w:rPr>
            </w:pPr>
            <w:r w:rsidRPr="00B52289">
              <w:rPr>
                <w:lang w:eastAsia="en-US"/>
              </w:rPr>
              <w:t>436,54</w:t>
            </w:r>
          </w:p>
        </w:tc>
        <w:tc>
          <w:tcPr>
            <w:tcW w:w="9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0707DC" w:rsidRPr="00B52289" w:rsidRDefault="000707DC" w:rsidP="004A3EF6">
            <w:pPr>
              <w:jc w:val="right"/>
              <w:rPr>
                <w:color w:val="000000"/>
              </w:rPr>
            </w:pPr>
            <w:r w:rsidRPr="00B52289">
              <w:rPr>
                <w:color w:val="000000"/>
              </w:rPr>
              <w:t>144,1</w:t>
            </w:r>
          </w:p>
        </w:tc>
        <w:tc>
          <w:tcPr>
            <w:tcW w:w="9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0707DC" w:rsidRPr="000707DC" w:rsidRDefault="000707DC">
            <w:pPr>
              <w:jc w:val="right"/>
              <w:rPr>
                <w:b/>
                <w:bCs/>
                <w:color w:val="000000"/>
              </w:rPr>
            </w:pPr>
            <w:r w:rsidRPr="000707DC">
              <w:rPr>
                <w:b/>
                <w:bCs/>
                <w:color w:val="000000"/>
              </w:rPr>
              <w:t>0,05</w:t>
            </w:r>
          </w:p>
        </w:tc>
      </w:tr>
      <w:tr w:rsidR="000707DC" w:rsidRPr="00B52289" w:rsidTr="00802D18">
        <w:trPr>
          <w:tblCellSpacing w:w="20" w:type="dxa"/>
        </w:trPr>
        <w:tc>
          <w:tcPr>
            <w:tcW w:w="650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>
            <w:pPr>
              <w:rPr>
                <w:lang w:eastAsia="en-US"/>
              </w:rPr>
            </w:pPr>
          </w:p>
        </w:tc>
        <w:tc>
          <w:tcPr>
            <w:tcW w:w="26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443EE0">
            <w:r w:rsidRPr="00B52289">
              <w:t>Ministarstvo turizma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vAlign w:val="bottom"/>
          </w:tcPr>
          <w:p w:rsidR="000707DC" w:rsidRPr="00B52289" w:rsidRDefault="000707DC" w:rsidP="00443EE0">
            <w:pPr>
              <w:jc w:val="right"/>
              <w:rPr>
                <w:color w:val="000000"/>
              </w:rPr>
            </w:pPr>
            <w:r w:rsidRPr="00B52289">
              <w:rPr>
                <w:color w:val="000000"/>
              </w:rPr>
              <w:t>130.000,00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0707DC" w:rsidRPr="00B52289" w:rsidRDefault="000707DC" w:rsidP="00443EE0">
            <w:pPr>
              <w:jc w:val="right"/>
            </w:pPr>
            <w:r>
              <w:t>-</w:t>
            </w:r>
          </w:p>
        </w:tc>
        <w:tc>
          <w:tcPr>
            <w:tcW w:w="1513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0707DC" w:rsidRPr="00B52289" w:rsidRDefault="000707DC" w:rsidP="00443EE0">
            <w:pPr>
              <w:jc w:val="right"/>
            </w:pPr>
            <w:r w:rsidRPr="00B52289">
              <w:t>-</w:t>
            </w:r>
          </w:p>
        </w:tc>
        <w:tc>
          <w:tcPr>
            <w:tcW w:w="9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0707DC" w:rsidRPr="00B52289" w:rsidRDefault="000707DC" w:rsidP="00443EE0">
            <w:pPr>
              <w:jc w:val="center"/>
            </w:pPr>
            <w:r>
              <w:t>-</w:t>
            </w:r>
          </w:p>
        </w:tc>
        <w:tc>
          <w:tcPr>
            <w:tcW w:w="9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0707DC" w:rsidRPr="000707DC" w:rsidRDefault="000707DC">
            <w:pPr>
              <w:jc w:val="right"/>
              <w:rPr>
                <w:color w:val="000000"/>
              </w:rPr>
            </w:pPr>
            <w:r w:rsidRPr="000707DC">
              <w:rPr>
                <w:color w:val="000000"/>
              </w:rPr>
              <w:t xml:space="preserve">             -</w:t>
            </w:r>
          </w:p>
        </w:tc>
      </w:tr>
      <w:tr w:rsidR="000707DC" w:rsidRPr="00B52289" w:rsidTr="00802D18">
        <w:trPr>
          <w:tblCellSpacing w:w="20" w:type="dxa"/>
        </w:trPr>
        <w:tc>
          <w:tcPr>
            <w:tcW w:w="650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>
            <w:pPr>
              <w:rPr>
                <w:b/>
              </w:rPr>
            </w:pPr>
          </w:p>
        </w:tc>
        <w:tc>
          <w:tcPr>
            <w:tcW w:w="26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443EE0">
            <w:r w:rsidRPr="00B52289">
              <w:t>Ostalo (prihodi od donacija i otpisanih obaveza)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vAlign w:val="bottom"/>
          </w:tcPr>
          <w:p w:rsidR="000707DC" w:rsidRPr="00B52289" w:rsidRDefault="000707DC" w:rsidP="00443EE0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0707DC" w:rsidRPr="00B52289" w:rsidRDefault="000707DC" w:rsidP="00443EE0">
            <w:pPr>
              <w:jc w:val="right"/>
            </w:pPr>
          </w:p>
          <w:p w:rsidR="000707DC" w:rsidRPr="00B52289" w:rsidRDefault="000707DC" w:rsidP="00443EE0">
            <w:pPr>
              <w:jc w:val="right"/>
            </w:pPr>
            <w:r w:rsidRPr="00B52289">
              <w:t>70.000,00</w:t>
            </w:r>
          </w:p>
        </w:tc>
        <w:tc>
          <w:tcPr>
            <w:tcW w:w="1513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0707DC" w:rsidRPr="00B52289" w:rsidRDefault="000707DC" w:rsidP="00443EE0">
            <w:pPr>
              <w:jc w:val="right"/>
            </w:pPr>
          </w:p>
          <w:p w:rsidR="000707DC" w:rsidRPr="00B52289" w:rsidRDefault="000707DC" w:rsidP="00443EE0">
            <w:pPr>
              <w:jc w:val="right"/>
            </w:pPr>
            <w:r w:rsidRPr="00B52289">
              <w:t>70.000,00</w:t>
            </w:r>
          </w:p>
        </w:tc>
        <w:tc>
          <w:tcPr>
            <w:tcW w:w="9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0707DC" w:rsidRDefault="000707DC" w:rsidP="00443EE0">
            <w:pPr>
              <w:jc w:val="center"/>
            </w:pPr>
          </w:p>
          <w:p w:rsidR="000707DC" w:rsidRPr="00B52289" w:rsidRDefault="000707DC" w:rsidP="00443EE0">
            <w:pPr>
              <w:jc w:val="center"/>
            </w:pPr>
            <w:r>
              <w:t>100,0</w:t>
            </w:r>
          </w:p>
        </w:tc>
        <w:tc>
          <w:tcPr>
            <w:tcW w:w="9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0707DC" w:rsidRPr="000707DC" w:rsidRDefault="000707DC">
            <w:pPr>
              <w:jc w:val="right"/>
              <w:rPr>
                <w:b/>
                <w:bCs/>
                <w:color w:val="000000"/>
              </w:rPr>
            </w:pPr>
            <w:r w:rsidRPr="000707DC">
              <w:rPr>
                <w:b/>
                <w:bCs/>
                <w:color w:val="000000"/>
              </w:rPr>
              <w:t>7,31</w:t>
            </w:r>
          </w:p>
        </w:tc>
      </w:tr>
      <w:tr w:rsidR="000707DC" w:rsidRPr="00B52289" w:rsidTr="00802D18">
        <w:trPr>
          <w:tblCellSpacing w:w="20" w:type="dxa"/>
        </w:trPr>
        <w:tc>
          <w:tcPr>
            <w:tcW w:w="650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>
            <w:pPr>
              <w:rPr>
                <w:b/>
              </w:rPr>
            </w:pPr>
          </w:p>
        </w:tc>
        <w:tc>
          <w:tcPr>
            <w:tcW w:w="26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443EE0">
            <w:r w:rsidRPr="00B52289">
              <w:t>Prihodi od otpisanih obveza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vAlign w:val="bottom"/>
          </w:tcPr>
          <w:p w:rsidR="000707DC" w:rsidRPr="00B52289" w:rsidRDefault="000707DC" w:rsidP="00443E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0707DC" w:rsidRDefault="000707DC" w:rsidP="00443EE0">
            <w:pPr>
              <w:jc w:val="right"/>
            </w:pPr>
          </w:p>
          <w:p w:rsidR="000707DC" w:rsidRPr="00B52289" w:rsidRDefault="000707DC" w:rsidP="00443EE0">
            <w:pPr>
              <w:jc w:val="right"/>
            </w:pPr>
            <w:r>
              <w:t>-</w:t>
            </w:r>
          </w:p>
        </w:tc>
        <w:tc>
          <w:tcPr>
            <w:tcW w:w="1513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0707DC" w:rsidRPr="00B52289" w:rsidRDefault="000707DC" w:rsidP="00443EE0">
            <w:pPr>
              <w:jc w:val="right"/>
            </w:pPr>
            <w:r w:rsidRPr="00B52289">
              <w:t>2.510,23</w:t>
            </w:r>
          </w:p>
          <w:p w:rsidR="000707DC" w:rsidRPr="00B52289" w:rsidRDefault="000707DC" w:rsidP="00443EE0">
            <w:pPr>
              <w:jc w:val="right"/>
            </w:pPr>
          </w:p>
        </w:tc>
        <w:tc>
          <w:tcPr>
            <w:tcW w:w="9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0707DC" w:rsidRPr="00B52289" w:rsidRDefault="000707DC" w:rsidP="00443EE0">
            <w:pPr>
              <w:jc w:val="center"/>
            </w:pPr>
            <w:r>
              <w:t>-</w:t>
            </w:r>
          </w:p>
        </w:tc>
        <w:tc>
          <w:tcPr>
            <w:tcW w:w="9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0707DC" w:rsidRPr="000707DC" w:rsidRDefault="000707DC">
            <w:pPr>
              <w:jc w:val="right"/>
              <w:rPr>
                <w:b/>
                <w:bCs/>
                <w:color w:val="000000"/>
              </w:rPr>
            </w:pPr>
            <w:r w:rsidRPr="000707DC">
              <w:rPr>
                <w:b/>
                <w:bCs/>
                <w:color w:val="000000"/>
              </w:rPr>
              <w:t> </w:t>
            </w:r>
          </w:p>
        </w:tc>
      </w:tr>
      <w:tr w:rsidR="000707DC" w:rsidRPr="00B52289" w:rsidTr="00802D18">
        <w:trPr>
          <w:tblCellSpacing w:w="20" w:type="dxa"/>
        </w:trPr>
        <w:tc>
          <w:tcPr>
            <w:tcW w:w="650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>
            <w:pPr>
              <w:rPr>
                <w:b/>
                <w:lang w:eastAsia="en-US"/>
              </w:rPr>
            </w:pPr>
            <w:r w:rsidRPr="00B52289">
              <w:rPr>
                <w:b/>
              </w:rPr>
              <w:t>7.</w:t>
            </w:r>
          </w:p>
        </w:tc>
        <w:tc>
          <w:tcPr>
            <w:tcW w:w="26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F940EB">
            <w:pPr>
              <w:rPr>
                <w:b/>
                <w:lang w:eastAsia="en-US"/>
              </w:rPr>
            </w:pPr>
            <w:r w:rsidRPr="00B52289">
              <w:rPr>
                <w:b/>
              </w:rPr>
              <w:t>Ostali nespomenuti prihodi (HZZO,)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vAlign w:val="bottom"/>
          </w:tcPr>
          <w:p w:rsidR="000707DC" w:rsidRPr="00B52289" w:rsidRDefault="000707DC">
            <w:pPr>
              <w:jc w:val="right"/>
              <w:rPr>
                <w:b/>
                <w:color w:val="000000"/>
              </w:rPr>
            </w:pPr>
            <w:r w:rsidRPr="00B52289">
              <w:rPr>
                <w:b/>
                <w:color w:val="000000"/>
              </w:rPr>
              <w:t>60.000,00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0707DC" w:rsidRPr="00B52289" w:rsidRDefault="000707DC" w:rsidP="001627F5">
            <w:pPr>
              <w:jc w:val="right"/>
              <w:rPr>
                <w:b/>
                <w:lang w:eastAsia="en-US"/>
              </w:rPr>
            </w:pPr>
          </w:p>
          <w:p w:rsidR="000707DC" w:rsidRPr="00B52289" w:rsidRDefault="000707DC" w:rsidP="001627F5">
            <w:pPr>
              <w:jc w:val="right"/>
              <w:rPr>
                <w:b/>
                <w:lang w:eastAsia="en-US"/>
              </w:rPr>
            </w:pPr>
            <w:r w:rsidRPr="00B52289">
              <w:rPr>
                <w:b/>
                <w:lang w:eastAsia="en-US"/>
              </w:rPr>
              <w:t>23.000,00</w:t>
            </w:r>
          </w:p>
        </w:tc>
        <w:tc>
          <w:tcPr>
            <w:tcW w:w="1513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0707DC" w:rsidRPr="00B52289" w:rsidRDefault="000707DC" w:rsidP="000E0263">
            <w:pPr>
              <w:jc w:val="right"/>
              <w:rPr>
                <w:b/>
                <w:lang w:eastAsia="en-US"/>
              </w:rPr>
            </w:pPr>
          </w:p>
          <w:p w:rsidR="000707DC" w:rsidRPr="00B52289" w:rsidRDefault="000707DC" w:rsidP="000E0263">
            <w:pPr>
              <w:jc w:val="right"/>
              <w:rPr>
                <w:b/>
                <w:lang w:eastAsia="en-US"/>
              </w:rPr>
            </w:pPr>
            <w:r w:rsidRPr="00B52289">
              <w:rPr>
                <w:b/>
              </w:rPr>
              <w:t>25.978,68</w:t>
            </w:r>
          </w:p>
        </w:tc>
        <w:tc>
          <w:tcPr>
            <w:tcW w:w="9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0707DC" w:rsidRDefault="000707DC" w:rsidP="006C2572">
            <w:pPr>
              <w:jc w:val="center"/>
              <w:rPr>
                <w:b/>
                <w:lang w:eastAsia="en-US"/>
              </w:rPr>
            </w:pPr>
          </w:p>
          <w:p w:rsidR="000707DC" w:rsidRPr="00B52289" w:rsidRDefault="000707DC" w:rsidP="006C257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112,9</w:t>
            </w:r>
          </w:p>
        </w:tc>
        <w:tc>
          <w:tcPr>
            <w:tcW w:w="9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0707DC" w:rsidRPr="000707DC" w:rsidRDefault="000707DC">
            <w:pPr>
              <w:jc w:val="right"/>
              <w:rPr>
                <w:color w:val="000000"/>
              </w:rPr>
            </w:pPr>
            <w:r w:rsidRPr="000707DC">
              <w:rPr>
                <w:color w:val="000000"/>
              </w:rPr>
              <w:t xml:space="preserve">             -</w:t>
            </w:r>
          </w:p>
        </w:tc>
      </w:tr>
      <w:tr w:rsidR="000707DC" w:rsidRPr="00B52289" w:rsidTr="00802D18">
        <w:trPr>
          <w:tblCellSpacing w:w="20" w:type="dxa"/>
        </w:trPr>
        <w:tc>
          <w:tcPr>
            <w:tcW w:w="650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/>
        </w:tc>
        <w:tc>
          <w:tcPr>
            <w:tcW w:w="26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>
            <w:r w:rsidRPr="00B52289">
              <w:rPr>
                <w:b/>
                <w:bCs/>
              </w:rPr>
              <w:t>UKUPNO PRIHODI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vAlign w:val="bottom"/>
          </w:tcPr>
          <w:p w:rsidR="000707DC" w:rsidRPr="00B52289" w:rsidRDefault="000707DC" w:rsidP="00DC20E9">
            <w:pPr>
              <w:jc w:val="right"/>
              <w:rPr>
                <w:b/>
                <w:color w:val="000000"/>
              </w:rPr>
            </w:pPr>
            <w:r w:rsidRPr="00B52289">
              <w:rPr>
                <w:b/>
                <w:color w:val="000000"/>
              </w:rPr>
              <w:t>1.442.000,00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0707DC" w:rsidRPr="00B52289" w:rsidRDefault="000707DC" w:rsidP="00951181">
            <w:pPr>
              <w:jc w:val="right"/>
              <w:rPr>
                <w:b/>
              </w:rPr>
            </w:pPr>
            <w:r w:rsidRPr="00B52289">
              <w:rPr>
                <w:b/>
              </w:rPr>
              <w:t>880.302,96</w:t>
            </w:r>
          </w:p>
        </w:tc>
        <w:tc>
          <w:tcPr>
            <w:tcW w:w="1513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0707DC" w:rsidRPr="00B52289" w:rsidRDefault="000707DC" w:rsidP="000E0263">
            <w:pPr>
              <w:jc w:val="right"/>
            </w:pPr>
            <w:r w:rsidRPr="00B52289">
              <w:rPr>
                <w:b/>
                <w:bCs/>
                <w:lang w:eastAsia="en-US"/>
              </w:rPr>
              <w:t>957.731,01</w:t>
            </w:r>
          </w:p>
        </w:tc>
        <w:tc>
          <w:tcPr>
            <w:tcW w:w="9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0707DC" w:rsidRPr="00B52289" w:rsidRDefault="000707DC" w:rsidP="006C2572">
            <w:pPr>
              <w:jc w:val="center"/>
            </w:pPr>
            <w:r w:rsidRPr="00B52289">
              <w:rPr>
                <w:b/>
                <w:bCs/>
                <w:lang w:eastAsia="en-US"/>
              </w:rPr>
              <w:t>10</w:t>
            </w:r>
            <w:r>
              <w:rPr>
                <w:b/>
                <w:bCs/>
                <w:lang w:eastAsia="en-US"/>
              </w:rPr>
              <w:t>8,8</w:t>
            </w:r>
          </w:p>
        </w:tc>
        <w:tc>
          <w:tcPr>
            <w:tcW w:w="9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0707DC" w:rsidRPr="000707DC" w:rsidRDefault="00070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0707DC" w:rsidRPr="00B52289" w:rsidTr="00802D18">
        <w:trPr>
          <w:tblCellSpacing w:w="20" w:type="dxa"/>
        </w:trPr>
        <w:tc>
          <w:tcPr>
            <w:tcW w:w="650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>
            <w:r w:rsidRPr="00B52289">
              <w:t>9.</w:t>
            </w:r>
          </w:p>
        </w:tc>
        <w:tc>
          <w:tcPr>
            <w:tcW w:w="26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07DC" w:rsidRPr="00B52289" w:rsidRDefault="000707DC" w:rsidP="006C2572">
            <w:r w:rsidRPr="00B52289">
              <w:t>IPA program-prihodi po ugovoru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vAlign w:val="bottom"/>
          </w:tcPr>
          <w:p w:rsidR="000707DC" w:rsidRPr="00B52289" w:rsidRDefault="000707DC" w:rsidP="00DC20E9">
            <w:pPr>
              <w:jc w:val="right"/>
              <w:rPr>
                <w:color w:val="000000"/>
              </w:rPr>
            </w:pPr>
            <w:r w:rsidRPr="00B52289">
              <w:rPr>
                <w:color w:val="000000"/>
              </w:rPr>
              <w:t>120.000,00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0707DC" w:rsidRDefault="000707DC" w:rsidP="00951181">
            <w:pPr>
              <w:jc w:val="right"/>
            </w:pPr>
          </w:p>
          <w:p w:rsidR="000707DC" w:rsidRPr="00B52289" w:rsidRDefault="000707DC" w:rsidP="00951181">
            <w:pPr>
              <w:jc w:val="right"/>
            </w:pPr>
            <w:r w:rsidRPr="00B52289">
              <w:t>128.931,72</w:t>
            </w:r>
          </w:p>
        </w:tc>
        <w:tc>
          <w:tcPr>
            <w:tcW w:w="1513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0707DC" w:rsidRDefault="000707DC" w:rsidP="000E0263">
            <w:pPr>
              <w:jc w:val="right"/>
            </w:pPr>
          </w:p>
          <w:p w:rsidR="000707DC" w:rsidRPr="00B52289" w:rsidRDefault="000707DC" w:rsidP="000E0263">
            <w:pPr>
              <w:jc w:val="right"/>
            </w:pPr>
            <w:r w:rsidRPr="00B52289">
              <w:t>219.763,97</w:t>
            </w:r>
          </w:p>
        </w:tc>
        <w:tc>
          <w:tcPr>
            <w:tcW w:w="9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0707DC" w:rsidRDefault="000707DC" w:rsidP="006C2572">
            <w:pPr>
              <w:jc w:val="center"/>
            </w:pPr>
          </w:p>
          <w:p w:rsidR="000707DC" w:rsidRPr="00B52289" w:rsidRDefault="000707DC" w:rsidP="006C2572">
            <w:pPr>
              <w:jc w:val="center"/>
            </w:pPr>
            <w:r>
              <w:t>170,4</w:t>
            </w:r>
          </w:p>
        </w:tc>
        <w:tc>
          <w:tcPr>
            <w:tcW w:w="9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0707DC" w:rsidRPr="000707DC" w:rsidRDefault="000707DC">
            <w:pPr>
              <w:jc w:val="right"/>
              <w:rPr>
                <w:color w:val="000000"/>
              </w:rPr>
            </w:pPr>
            <w:r w:rsidRPr="000707DC">
              <w:rPr>
                <w:color w:val="000000"/>
              </w:rPr>
              <w:t xml:space="preserve">             -</w:t>
            </w:r>
          </w:p>
        </w:tc>
      </w:tr>
      <w:tr w:rsidR="009E63CC" w:rsidRPr="00B52289" w:rsidTr="00B52289">
        <w:trPr>
          <w:tblCellSpacing w:w="20" w:type="dxa"/>
        </w:trPr>
        <w:tc>
          <w:tcPr>
            <w:tcW w:w="650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9E63CC" w:rsidRPr="00B52289" w:rsidRDefault="009E63CC" w:rsidP="006C2572">
            <w:pPr>
              <w:rPr>
                <w:lang w:eastAsia="en-US"/>
              </w:rPr>
            </w:pPr>
            <w:r w:rsidRPr="00B52289">
              <w:t> </w:t>
            </w:r>
          </w:p>
        </w:tc>
        <w:tc>
          <w:tcPr>
            <w:tcW w:w="26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63CC" w:rsidRPr="00B52289" w:rsidRDefault="009E63CC" w:rsidP="006C2572">
            <w:pPr>
              <w:rPr>
                <w:b/>
                <w:bCs/>
                <w:lang w:eastAsia="en-US"/>
              </w:rPr>
            </w:pPr>
            <w:r w:rsidRPr="00B52289">
              <w:rPr>
                <w:b/>
                <w:bCs/>
              </w:rPr>
              <w:t>UKUPNO PRIHODI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vAlign w:val="bottom"/>
          </w:tcPr>
          <w:p w:rsidR="009E63CC" w:rsidRPr="00B52289" w:rsidRDefault="00DC20E9">
            <w:pPr>
              <w:jc w:val="right"/>
              <w:rPr>
                <w:b/>
                <w:color w:val="000000"/>
              </w:rPr>
            </w:pPr>
            <w:r w:rsidRPr="00B52289">
              <w:rPr>
                <w:b/>
                <w:color w:val="000000"/>
              </w:rPr>
              <w:t>1.562.000,00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B52289" w:rsidRDefault="00B52289" w:rsidP="00951181">
            <w:pPr>
              <w:jc w:val="right"/>
              <w:rPr>
                <w:b/>
                <w:bCs/>
                <w:lang w:eastAsia="en-US"/>
              </w:rPr>
            </w:pPr>
          </w:p>
          <w:p w:rsidR="009E63CC" w:rsidRPr="00B52289" w:rsidRDefault="001D5E85" w:rsidP="00951181">
            <w:pPr>
              <w:jc w:val="right"/>
              <w:rPr>
                <w:b/>
                <w:bCs/>
                <w:lang w:eastAsia="en-US"/>
              </w:rPr>
            </w:pPr>
            <w:r w:rsidRPr="00B52289">
              <w:rPr>
                <w:b/>
                <w:bCs/>
                <w:lang w:eastAsia="en-US"/>
              </w:rPr>
              <w:t>1.00</w:t>
            </w:r>
            <w:r w:rsidR="00951181" w:rsidRPr="00B52289">
              <w:rPr>
                <w:b/>
                <w:bCs/>
                <w:lang w:eastAsia="en-US"/>
              </w:rPr>
              <w:t>9</w:t>
            </w:r>
            <w:r w:rsidRPr="00B52289">
              <w:rPr>
                <w:b/>
                <w:bCs/>
                <w:lang w:eastAsia="en-US"/>
              </w:rPr>
              <w:t>.234,68</w:t>
            </w:r>
          </w:p>
        </w:tc>
        <w:tc>
          <w:tcPr>
            <w:tcW w:w="1513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B52289" w:rsidRDefault="00B52289" w:rsidP="00306CC9">
            <w:pPr>
              <w:jc w:val="center"/>
              <w:rPr>
                <w:b/>
                <w:bCs/>
                <w:lang w:eastAsia="en-US"/>
              </w:rPr>
            </w:pPr>
          </w:p>
          <w:p w:rsidR="009E63CC" w:rsidRPr="00B52289" w:rsidRDefault="009E63CC" w:rsidP="00306CC9">
            <w:pPr>
              <w:jc w:val="center"/>
              <w:rPr>
                <w:b/>
                <w:bCs/>
                <w:lang w:eastAsia="en-US"/>
              </w:rPr>
            </w:pPr>
            <w:r w:rsidRPr="00B52289">
              <w:rPr>
                <w:b/>
                <w:bCs/>
                <w:lang w:eastAsia="en-US"/>
              </w:rPr>
              <w:t>1.157.115,78</w:t>
            </w:r>
          </w:p>
        </w:tc>
        <w:tc>
          <w:tcPr>
            <w:tcW w:w="9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B52289" w:rsidRDefault="00B52289" w:rsidP="006C2572">
            <w:pPr>
              <w:tabs>
                <w:tab w:val="center" w:pos="945"/>
                <w:tab w:val="right" w:pos="1891"/>
              </w:tabs>
              <w:jc w:val="center"/>
              <w:rPr>
                <w:b/>
                <w:bCs/>
                <w:lang w:eastAsia="en-US"/>
              </w:rPr>
            </w:pPr>
          </w:p>
          <w:p w:rsidR="009E63CC" w:rsidRPr="00B52289" w:rsidRDefault="005B520B" w:rsidP="005B520B">
            <w:pPr>
              <w:tabs>
                <w:tab w:val="center" w:pos="945"/>
                <w:tab w:val="right" w:pos="1891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114,6</w:t>
            </w:r>
          </w:p>
        </w:tc>
        <w:tc>
          <w:tcPr>
            <w:tcW w:w="9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B52289" w:rsidRDefault="00B52289" w:rsidP="00680714">
            <w:pPr>
              <w:tabs>
                <w:tab w:val="center" w:pos="945"/>
                <w:tab w:val="right" w:pos="1891"/>
              </w:tabs>
              <w:jc w:val="center"/>
              <w:rPr>
                <w:bCs/>
                <w:lang w:eastAsia="en-US"/>
              </w:rPr>
            </w:pPr>
          </w:p>
          <w:p w:rsidR="009E63CC" w:rsidRPr="00B52289" w:rsidRDefault="009E63CC" w:rsidP="00680714">
            <w:pPr>
              <w:tabs>
                <w:tab w:val="center" w:pos="945"/>
                <w:tab w:val="right" w:pos="1891"/>
              </w:tabs>
              <w:jc w:val="center"/>
              <w:rPr>
                <w:bCs/>
                <w:lang w:eastAsia="en-US"/>
              </w:rPr>
            </w:pPr>
            <w:r w:rsidRPr="00B52289">
              <w:rPr>
                <w:bCs/>
                <w:lang w:eastAsia="en-US"/>
              </w:rPr>
              <w:t>100,00</w:t>
            </w:r>
          </w:p>
        </w:tc>
      </w:tr>
    </w:tbl>
    <w:p w:rsidR="006E5B19" w:rsidRDefault="006E5B19" w:rsidP="006E5B19">
      <w:pPr>
        <w:jc w:val="center"/>
        <w:rPr>
          <w:b/>
        </w:rPr>
      </w:pPr>
    </w:p>
    <w:p w:rsidR="006E5B19" w:rsidRDefault="006E5B19" w:rsidP="006E5B19">
      <w:pPr>
        <w:jc w:val="center"/>
        <w:rPr>
          <w:b/>
        </w:rPr>
      </w:pPr>
    </w:p>
    <w:p w:rsidR="006E5B19" w:rsidRDefault="006E5B19" w:rsidP="006E5B19">
      <w:pPr>
        <w:jc w:val="center"/>
        <w:rPr>
          <w:b/>
        </w:rPr>
      </w:pPr>
    </w:p>
    <w:p w:rsidR="00FD21EB" w:rsidRDefault="00FD21EB" w:rsidP="006E5B19">
      <w:pPr>
        <w:jc w:val="center"/>
        <w:rPr>
          <w:b/>
        </w:rPr>
      </w:pPr>
    </w:p>
    <w:p w:rsidR="00FD21EB" w:rsidRDefault="00FD21EB" w:rsidP="006E5B19">
      <w:pPr>
        <w:jc w:val="center"/>
        <w:rPr>
          <w:b/>
        </w:rPr>
      </w:pPr>
    </w:p>
    <w:p w:rsidR="006E5B19" w:rsidRDefault="006E5B19" w:rsidP="006E5B19">
      <w:pPr>
        <w:jc w:val="both"/>
        <w:rPr>
          <w:lang w:eastAsia="en-US"/>
        </w:rPr>
      </w:pPr>
      <w:r w:rsidRPr="008116EB">
        <w:lastRenderedPageBreak/>
        <w:t xml:space="preserve">U najvećem dijelu ostvareni su </w:t>
      </w:r>
      <w:r>
        <w:t>prihodi</w:t>
      </w:r>
      <w:r w:rsidR="000E0263">
        <w:t xml:space="preserve"> iz </w:t>
      </w:r>
      <w:r>
        <w:t xml:space="preserve"> proračuna Grada Vukovara u iznosu od </w:t>
      </w:r>
      <w:r w:rsidR="000E0263">
        <w:t xml:space="preserve">386.528,65 </w:t>
      </w:r>
      <w:r>
        <w:rPr>
          <w:rFonts w:ascii="Garamond" w:hAnsi="Garamond"/>
          <w:lang w:eastAsia="en-US"/>
        </w:rPr>
        <w:t xml:space="preserve">kn, </w:t>
      </w:r>
      <w:r w:rsidR="000E0263">
        <w:rPr>
          <w:lang w:eastAsia="en-US"/>
        </w:rPr>
        <w:t>što predstavlja udio od</w:t>
      </w:r>
      <w:r w:rsidR="0085357E">
        <w:rPr>
          <w:lang w:eastAsia="en-US"/>
        </w:rPr>
        <w:t xml:space="preserve"> 40</w:t>
      </w:r>
      <w:r w:rsidR="00467BE9">
        <w:rPr>
          <w:lang w:eastAsia="en-US"/>
        </w:rPr>
        <w:t>,</w:t>
      </w:r>
      <w:r w:rsidR="0085357E">
        <w:rPr>
          <w:lang w:eastAsia="en-US"/>
        </w:rPr>
        <w:t>36</w:t>
      </w:r>
      <w:r w:rsidR="000E0263">
        <w:rPr>
          <w:lang w:eastAsia="en-US"/>
        </w:rPr>
        <w:t xml:space="preserve"> </w:t>
      </w:r>
      <w:r w:rsidRPr="008116EB">
        <w:rPr>
          <w:lang w:eastAsia="en-US"/>
        </w:rPr>
        <w:t>%</w:t>
      </w:r>
      <w:r>
        <w:rPr>
          <w:lang w:eastAsia="en-US"/>
        </w:rPr>
        <w:t xml:space="preserve"> </w:t>
      </w:r>
      <w:r w:rsidRPr="008116EB">
        <w:rPr>
          <w:lang w:eastAsia="en-US"/>
        </w:rPr>
        <w:t>u ukupno ostvarenim prihodima</w:t>
      </w:r>
      <w:r>
        <w:rPr>
          <w:lang w:eastAsia="en-US"/>
        </w:rPr>
        <w:t xml:space="preserve">, a zatim ih slijede prihodi od turističke članarine u iznosu od </w:t>
      </w:r>
      <w:r w:rsidR="0085357E" w:rsidRPr="0085357E">
        <w:rPr>
          <w:lang w:eastAsia="en-US"/>
        </w:rPr>
        <w:t>328.202,31</w:t>
      </w:r>
      <w:r w:rsidRPr="0085357E">
        <w:rPr>
          <w:lang w:eastAsia="en-US"/>
        </w:rPr>
        <w:t>kn</w:t>
      </w:r>
      <w:r>
        <w:rPr>
          <w:lang w:eastAsia="en-US"/>
        </w:rPr>
        <w:t xml:space="preserve"> što je</w:t>
      </w:r>
      <w:r w:rsidR="00467BE9">
        <w:rPr>
          <w:lang w:eastAsia="en-US"/>
        </w:rPr>
        <w:t xml:space="preserve"> </w:t>
      </w:r>
      <w:r w:rsidR="0085357E">
        <w:rPr>
          <w:lang w:eastAsia="en-US"/>
        </w:rPr>
        <w:t>34,27</w:t>
      </w:r>
      <w:r>
        <w:rPr>
          <w:lang w:eastAsia="en-US"/>
        </w:rPr>
        <w:t xml:space="preserve">% </w:t>
      </w:r>
      <w:r w:rsidRPr="008116EB">
        <w:rPr>
          <w:lang w:eastAsia="en-US"/>
        </w:rPr>
        <w:t>u ukupno ostvarenim prihodima</w:t>
      </w:r>
      <w:r>
        <w:rPr>
          <w:lang w:eastAsia="en-US"/>
        </w:rPr>
        <w:t>.</w:t>
      </w:r>
    </w:p>
    <w:p w:rsidR="006E5B19" w:rsidRDefault="006E5B19" w:rsidP="006E5B19">
      <w:pPr>
        <w:jc w:val="both"/>
        <w:rPr>
          <w:lang w:eastAsia="en-US"/>
        </w:rPr>
      </w:pPr>
    </w:p>
    <w:p w:rsidR="006E5B19" w:rsidRPr="008116EB" w:rsidRDefault="006E5B19" w:rsidP="006E5B19">
      <w:pPr>
        <w:jc w:val="both"/>
      </w:pPr>
      <w:r>
        <w:rPr>
          <w:lang w:eastAsia="en-US"/>
        </w:rPr>
        <w:t>U 201</w:t>
      </w:r>
      <w:r w:rsidR="000E0263">
        <w:rPr>
          <w:lang w:eastAsia="en-US"/>
        </w:rPr>
        <w:t>3</w:t>
      </w:r>
      <w:r>
        <w:rPr>
          <w:lang w:eastAsia="en-US"/>
        </w:rPr>
        <w:t>.g. rashodi Turističke zajednice planirani su i ostv</w:t>
      </w:r>
      <w:r w:rsidR="00DF5C89">
        <w:rPr>
          <w:lang w:eastAsia="en-US"/>
        </w:rPr>
        <w:t>areni prema sljedećoj strukturi, što je vidljivo iz tabele financijskog izvješća koja je sastavni dio ovog izvješća.</w:t>
      </w:r>
    </w:p>
    <w:p w:rsidR="006E5B19" w:rsidRPr="0085357E" w:rsidRDefault="006E5B19" w:rsidP="006E5B19">
      <w:pPr>
        <w:jc w:val="center"/>
        <w:rPr>
          <w:b/>
        </w:rPr>
      </w:pPr>
    </w:p>
    <w:p w:rsidR="006E5B19" w:rsidRPr="0085357E" w:rsidRDefault="006E5B19" w:rsidP="006E5B19">
      <w:r w:rsidRPr="0085357E">
        <w:tab/>
      </w:r>
      <w:r w:rsidRPr="0085357E">
        <w:tab/>
      </w:r>
      <w:r w:rsidRPr="0085357E">
        <w:tab/>
      </w:r>
    </w:p>
    <w:p w:rsidR="006E5B19" w:rsidRDefault="006E5B19" w:rsidP="006E5B19">
      <w:pPr>
        <w:jc w:val="both"/>
        <w:rPr>
          <w:lang w:eastAsia="en-US"/>
        </w:rPr>
      </w:pPr>
      <w:r w:rsidRPr="005A4944">
        <w:t>U najvećem dijelu ostvareni su rashodi za funkcionalni marketing</w:t>
      </w:r>
      <w:r w:rsidR="00467BE9">
        <w:t>, tj. rashodi za aktivnosti Turističke zajednice</w:t>
      </w:r>
      <w:r w:rsidRPr="005A4944">
        <w:t xml:space="preserve"> i to u iznosu od</w:t>
      </w:r>
      <w:r w:rsidR="00DC59A4">
        <w:t xml:space="preserve"> </w:t>
      </w:r>
      <w:r w:rsidR="00DC59A4" w:rsidRPr="00DC59A4">
        <w:rPr>
          <w:color w:val="000000"/>
        </w:rPr>
        <w:t>590.867,55</w:t>
      </w:r>
      <w:r w:rsidR="00DF5C89">
        <w:t xml:space="preserve"> </w:t>
      </w:r>
      <w:r w:rsidR="00DC59A4">
        <w:rPr>
          <w:lang w:eastAsia="en-US"/>
        </w:rPr>
        <w:t>kn što predstavlja udio od 55,6</w:t>
      </w:r>
      <w:r>
        <w:rPr>
          <w:lang w:eastAsia="en-US"/>
        </w:rPr>
        <w:t>% u ukupno ostvarenim rashodima, dok su rashodi za administrativni marketing ostvareni u iznosu od</w:t>
      </w:r>
      <w:r w:rsidR="00DC59A4">
        <w:rPr>
          <w:lang w:eastAsia="en-US"/>
        </w:rPr>
        <w:t xml:space="preserve"> </w:t>
      </w:r>
      <w:r w:rsidR="00DC59A4" w:rsidRPr="00DC59A4">
        <w:rPr>
          <w:bCs/>
          <w:color w:val="000000"/>
        </w:rPr>
        <w:t>472.575,01</w:t>
      </w:r>
      <w:r>
        <w:rPr>
          <w:lang w:eastAsia="en-US"/>
        </w:rPr>
        <w:t xml:space="preserve"> kn </w:t>
      </w:r>
      <w:r w:rsidR="00DC59A4">
        <w:rPr>
          <w:bCs/>
          <w:lang w:eastAsia="en-US"/>
        </w:rPr>
        <w:t>što predstavlja udio od 44,4</w:t>
      </w:r>
      <w:r>
        <w:rPr>
          <w:bCs/>
          <w:lang w:eastAsia="en-US"/>
        </w:rPr>
        <w:t xml:space="preserve">% </w:t>
      </w:r>
      <w:r>
        <w:rPr>
          <w:lang w:eastAsia="en-US"/>
        </w:rPr>
        <w:t xml:space="preserve">u ukupno ostvarenim rashodima. Rashodi za funkcionalni marketing </w:t>
      </w:r>
      <w:r w:rsidR="00DC59A4">
        <w:rPr>
          <w:lang w:eastAsia="en-US"/>
        </w:rPr>
        <w:t xml:space="preserve">veći </w:t>
      </w:r>
      <w:r>
        <w:rPr>
          <w:lang w:eastAsia="en-US"/>
        </w:rPr>
        <w:t>su planiranih</w:t>
      </w:r>
      <w:r w:rsidR="00DC59A4">
        <w:rPr>
          <w:lang w:eastAsia="en-US"/>
        </w:rPr>
        <w:t>, a razlog je taj što smo tijekom</w:t>
      </w:r>
      <w:r w:rsidR="00293715">
        <w:rPr>
          <w:lang w:eastAsia="en-US"/>
        </w:rPr>
        <w:t xml:space="preserve"> cijele</w:t>
      </w:r>
      <w:r w:rsidR="00DC59A4">
        <w:rPr>
          <w:lang w:eastAsia="en-US"/>
        </w:rPr>
        <w:t xml:space="preserve"> godine imali neravnomjeran priliv sredstava od turističke članarine i tek  u posljednja dva mjeseca 2013.g. bilježimo znatan priliv, što je utjecalo na pojačane aktivnosti, posebno </w:t>
      </w:r>
      <w:r w:rsidR="00293715">
        <w:rPr>
          <w:lang w:eastAsia="en-US"/>
        </w:rPr>
        <w:t>na izradu promidžbenog materijala.</w:t>
      </w:r>
    </w:p>
    <w:p w:rsidR="00FD21EB" w:rsidRDefault="00FD21EB" w:rsidP="002C35B5">
      <w:pPr>
        <w:ind w:firstLine="708"/>
        <w:jc w:val="both"/>
        <w:rPr>
          <w:lang w:eastAsia="en-US"/>
        </w:rPr>
      </w:pPr>
    </w:p>
    <w:p w:rsidR="00662B40" w:rsidRDefault="002C35B5" w:rsidP="002C35B5">
      <w:pPr>
        <w:ind w:firstLine="708"/>
        <w:jc w:val="both"/>
        <w:rPr>
          <w:lang w:eastAsia="en-US"/>
        </w:rPr>
      </w:pPr>
      <w:r>
        <w:rPr>
          <w:lang w:eastAsia="en-US"/>
        </w:rPr>
        <w:t>Najveći postotak učešća u ukupnim rashodima u iznosu od 220.521,81kn ili 20,7% predstavlja stavka Ostalo u kojoj su sadržani pojedinačni rashodi koji se odnose na troškove prijevoza na Vukovarsku adu u iznosu od 69.885,63kn ili  6,5% u ukupnim rashodima,</w:t>
      </w:r>
      <w:r w:rsidR="00662B40">
        <w:rPr>
          <w:lang w:eastAsia="en-US"/>
        </w:rPr>
        <w:t xml:space="preserve"> a od toga 49.135,00kn su troškovi ugovora o djelu, a 20.750,63kn su trpškovi goriva.</w:t>
      </w:r>
    </w:p>
    <w:p w:rsidR="00FD21EB" w:rsidRDefault="00FD21EB" w:rsidP="002C35B5">
      <w:pPr>
        <w:ind w:firstLine="708"/>
        <w:jc w:val="both"/>
        <w:rPr>
          <w:lang w:eastAsia="en-US"/>
        </w:rPr>
      </w:pPr>
    </w:p>
    <w:p w:rsidR="00662B40" w:rsidRDefault="00662B40" w:rsidP="002C35B5">
      <w:pPr>
        <w:ind w:firstLine="708"/>
        <w:jc w:val="both"/>
      </w:pPr>
      <w:r>
        <w:rPr>
          <w:lang w:eastAsia="en-US"/>
        </w:rPr>
        <w:t xml:space="preserve">Zatim, </w:t>
      </w:r>
      <w:r w:rsidR="002C35B5">
        <w:rPr>
          <w:lang w:eastAsia="en-US"/>
        </w:rPr>
        <w:t xml:space="preserve"> iznos od 68.467,50kn ili 6,4% učešća, a odnosi se na rashode za IPA projekt koji je formalno dovršen 31. </w:t>
      </w:r>
      <w:r>
        <w:rPr>
          <w:lang w:eastAsia="en-US"/>
        </w:rPr>
        <w:t>s</w:t>
      </w:r>
      <w:r w:rsidR="002C35B5">
        <w:rPr>
          <w:lang w:eastAsia="en-US"/>
        </w:rPr>
        <w:t xml:space="preserve">iječnja 2013.g., ali je još </w:t>
      </w:r>
      <w:r>
        <w:rPr>
          <w:lang w:eastAsia="en-US"/>
        </w:rPr>
        <w:t xml:space="preserve">bilo obveza vezano uz njega, jer trebalo je sastaviti </w:t>
      </w:r>
      <w:r>
        <w:t xml:space="preserve">završno izvješće, čemu je prethodila revizija čiji je trošak iznosio 29.500,00kn, 23.000,00 je utrošeno za certifikate za sudionike radionica tradicijskih zanata, a 15.141,00kn je rashod za organiziranje finalne konferencije koja je održana 25. </w:t>
      </w:r>
      <w:r w:rsidR="00952256">
        <w:t>s</w:t>
      </w:r>
      <w:r>
        <w:t>iječnja 2013.g. u hotelu Lav</w:t>
      </w:r>
      <w:r w:rsidR="00952256">
        <w:t xml:space="preserve"> plus još neki manji troškovi.</w:t>
      </w:r>
    </w:p>
    <w:p w:rsidR="00FD21EB" w:rsidRDefault="00FD21EB" w:rsidP="002C35B5">
      <w:pPr>
        <w:ind w:firstLine="708"/>
        <w:jc w:val="both"/>
        <w:rPr>
          <w:lang w:eastAsia="en-US"/>
        </w:rPr>
      </w:pPr>
    </w:p>
    <w:p w:rsidR="002C35B5" w:rsidRDefault="002C35B5" w:rsidP="002C35B5">
      <w:pPr>
        <w:ind w:firstLine="708"/>
        <w:jc w:val="both"/>
        <w:rPr>
          <w:lang w:eastAsia="en-US"/>
        </w:rPr>
      </w:pPr>
      <w:r>
        <w:rPr>
          <w:lang w:eastAsia="en-US"/>
        </w:rPr>
        <w:t>U okviru stavke ostalo, najveći iznos  od 82.168,68kn predstavlja tr</w:t>
      </w:r>
      <w:r w:rsidR="00261479">
        <w:rPr>
          <w:lang w:eastAsia="en-US"/>
        </w:rPr>
        <w:t>ošak amortizacije, koji uz redovnu amortizaciju uključuje i</w:t>
      </w:r>
      <w:r>
        <w:rPr>
          <w:lang w:eastAsia="en-US"/>
        </w:rPr>
        <w:t xml:space="preserve"> amortiziranu vrijednost  kod prijenosa vlasništva po IPA projektu s TZ na Grad Vukovar</w:t>
      </w:r>
      <w:r w:rsidR="00261479">
        <w:rPr>
          <w:lang w:eastAsia="en-US"/>
        </w:rPr>
        <w:t>.</w:t>
      </w:r>
    </w:p>
    <w:p w:rsidR="00FD21EB" w:rsidRDefault="00FD21EB" w:rsidP="006E5B19">
      <w:pPr>
        <w:ind w:firstLine="708"/>
        <w:jc w:val="both"/>
        <w:rPr>
          <w:lang w:eastAsia="en-US"/>
        </w:rPr>
      </w:pPr>
    </w:p>
    <w:p w:rsidR="00293715" w:rsidRDefault="00293715" w:rsidP="006E5B19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U dijelu rashoda za aktivnosti TZ, </w:t>
      </w:r>
      <w:r w:rsidR="006E5B19">
        <w:rPr>
          <w:lang w:eastAsia="en-US"/>
        </w:rPr>
        <w:t xml:space="preserve">u najvećem dijelu ostvareni su rashodi za                 </w:t>
      </w:r>
      <w:r>
        <w:rPr>
          <w:lang w:eastAsia="en-US"/>
        </w:rPr>
        <w:t xml:space="preserve">dizajn vrijednosti </w:t>
      </w:r>
      <w:r w:rsidR="006E5B19">
        <w:rPr>
          <w:lang w:eastAsia="en-US"/>
        </w:rPr>
        <w:t xml:space="preserve">i to u iznosu od  </w:t>
      </w:r>
      <w:r>
        <w:rPr>
          <w:lang w:eastAsia="en-US"/>
        </w:rPr>
        <w:t>173.783,84</w:t>
      </w:r>
      <w:r>
        <w:rPr>
          <w:bCs/>
          <w:iCs/>
          <w:lang w:eastAsia="en-US"/>
        </w:rPr>
        <w:t>kn što predstavlja udio od 16</w:t>
      </w:r>
      <w:r w:rsidR="006E5B19">
        <w:rPr>
          <w:bCs/>
          <w:iCs/>
          <w:lang w:eastAsia="en-US"/>
        </w:rPr>
        <w:t>,</w:t>
      </w:r>
      <w:r>
        <w:rPr>
          <w:bCs/>
          <w:iCs/>
          <w:lang w:eastAsia="en-US"/>
        </w:rPr>
        <w:t>3</w:t>
      </w:r>
      <w:r w:rsidR="006E5B19">
        <w:rPr>
          <w:bCs/>
          <w:iCs/>
          <w:lang w:eastAsia="en-US"/>
        </w:rPr>
        <w:t>%</w:t>
      </w:r>
      <w:r w:rsidR="006E5B19" w:rsidRPr="007B6043">
        <w:rPr>
          <w:lang w:eastAsia="en-US"/>
        </w:rPr>
        <w:t xml:space="preserve"> </w:t>
      </w:r>
      <w:r>
        <w:rPr>
          <w:lang w:eastAsia="en-US"/>
        </w:rPr>
        <w:t>u ukupno ostvarenim rashodima</w:t>
      </w:r>
      <w:r w:rsidR="004618E3">
        <w:rPr>
          <w:lang w:eastAsia="en-US"/>
        </w:rPr>
        <w:t>.</w:t>
      </w:r>
      <w:r>
        <w:rPr>
          <w:lang w:eastAsia="en-US"/>
        </w:rPr>
        <w:t xml:space="preserve"> </w:t>
      </w:r>
      <w:r w:rsidR="000D1706">
        <w:rPr>
          <w:lang w:eastAsia="en-US"/>
        </w:rPr>
        <w:t>U okviru dizajna vrijednosti najveći dio čine manife</w:t>
      </w:r>
      <w:r w:rsidR="002C35B5">
        <w:rPr>
          <w:lang w:eastAsia="en-US"/>
        </w:rPr>
        <w:t>stacije u iznosu od 131.295,09kn ili 1</w:t>
      </w:r>
      <w:r w:rsidR="004618E3">
        <w:rPr>
          <w:lang w:eastAsia="en-US"/>
        </w:rPr>
        <w:t>2,4% učešća u ukupnim rashodima, a 32.825,00kn ili 3,1% čine rashodi koji se odnose na novi proizvod, a ove godine je to aplikacija Virtualna šetnja Vukovarom, za što smo od HTZ-a</w:t>
      </w:r>
      <w:r w:rsidR="002E3EDD">
        <w:rPr>
          <w:lang w:eastAsia="en-US"/>
        </w:rPr>
        <w:t xml:space="preserve"> dobili sredstva po apliciranju na natječaj za nerazvijene TZ.</w:t>
      </w:r>
    </w:p>
    <w:p w:rsidR="00FD21EB" w:rsidRDefault="00FD21EB" w:rsidP="006E5B19">
      <w:pPr>
        <w:ind w:firstLine="708"/>
        <w:jc w:val="both"/>
        <w:rPr>
          <w:lang w:eastAsia="en-US"/>
        </w:rPr>
      </w:pPr>
    </w:p>
    <w:p w:rsidR="00952256" w:rsidRDefault="00952256" w:rsidP="006E5B19">
      <w:pPr>
        <w:ind w:firstLine="708"/>
        <w:jc w:val="both"/>
        <w:rPr>
          <w:lang w:eastAsia="en-US"/>
        </w:rPr>
      </w:pPr>
      <w:r>
        <w:rPr>
          <w:lang w:eastAsia="en-US"/>
        </w:rPr>
        <w:t>Osim Virtualne šetnje Vukovarom, uz još tri projekta za koje smo podnijeli kandidaturu, odobreno nam je 50.000,00kn za projekt izrada i postavljanje smeđe signalizacije, što smo i realizirali, ali projekt se nastavlja i u ovoj godini, jer odobrena sredstva nisu bila dostatna za izradu svih znakova sukladno projektnoj dokumentaciji.</w:t>
      </w:r>
    </w:p>
    <w:p w:rsidR="00FD21EB" w:rsidRDefault="00FD21EB" w:rsidP="002C35B5">
      <w:pPr>
        <w:ind w:firstLine="708"/>
        <w:jc w:val="both"/>
      </w:pPr>
    </w:p>
    <w:p w:rsidR="002C35B5" w:rsidRDefault="002C35B5" w:rsidP="002C35B5">
      <w:pPr>
        <w:ind w:firstLine="708"/>
        <w:jc w:val="both"/>
      </w:pPr>
      <w:r>
        <w:t xml:space="preserve">Sukladno financijskim sredstvima iz proračuna i u dogovoru s Turističkim vijećem, Turistička zajednica grada Vukovara u protekloj godini realizirala je većinu planiranih manifestacije, a biciklijada je prolongirana za sljedeću godinu, jer na natječaju nismo dobili stredstva za istu. </w:t>
      </w:r>
    </w:p>
    <w:p w:rsidR="006E5B19" w:rsidRPr="00610128" w:rsidRDefault="006E5B19" w:rsidP="00FD21EB">
      <w:pPr>
        <w:jc w:val="both"/>
      </w:pPr>
      <w:r>
        <w:lastRenderedPageBreak/>
        <w:t>Početkom godine u Vinogradskoj kući Goldschmidt održana je manifestacija Vinkovo, u suradnji s VUPIK-om.</w:t>
      </w:r>
      <w:r w:rsidR="002C35B5">
        <w:t xml:space="preserve"> </w:t>
      </w:r>
      <w:r>
        <w:t>Program je, kao i svih ovih godina bio vezan za tradiciju toga dana, pa se nakon blagoslova vinograda moglo uživati u vinogradarskom doživljaju. Za sve one koji nisu bili u mogućnosti doći na Goldschmidt, isti doživljaj je, zahvaljujući Gradu Vukovaru i Turističkoj zajednici, ponovljen u popodnevnim satima na Trgu uz tamburašku glazbu, na opće zadovoljstvo svih.</w:t>
      </w:r>
    </w:p>
    <w:p w:rsidR="00FD21EB" w:rsidRDefault="00FD21EB" w:rsidP="006E5B19">
      <w:pPr>
        <w:jc w:val="both"/>
      </w:pPr>
    </w:p>
    <w:p w:rsidR="006E5B19" w:rsidRDefault="006E5B19" w:rsidP="006E5B19">
      <w:pPr>
        <w:jc w:val="both"/>
        <w:rPr>
          <w:bCs/>
          <w:iCs/>
        </w:rPr>
      </w:pPr>
      <w:r>
        <w:t xml:space="preserve">Nakon te manifestacije, kronološkim redom su održane </w:t>
      </w:r>
      <w:r w:rsidRPr="00014B6E">
        <w:rPr>
          <w:bCs/>
          <w:iCs/>
        </w:rPr>
        <w:t>Prvosvibanjski izlet u Adici,  Živjeti s Dunavom,</w:t>
      </w:r>
      <w:r>
        <w:rPr>
          <w:bCs/>
          <w:iCs/>
        </w:rPr>
        <w:t xml:space="preserve"> </w:t>
      </w:r>
      <w:r w:rsidR="00DD44C1">
        <w:rPr>
          <w:bCs/>
          <w:iCs/>
        </w:rPr>
        <w:t xml:space="preserve">sudjelovali s prikazom tradicijskih zanata na koncertu organiziranom povodom ulaska Hrvatske u EU, </w:t>
      </w:r>
      <w:r w:rsidR="00C32AA5">
        <w:rPr>
          <w:bCs/>
          <w:iCs/>
        </w:rPr>
        <w:t>obilježili otvorenje kupališne sezone na Vukovarskoj adi</w:t>
      </w:r>
      <w:r w:rsidRPr="00014B6E">
        <w:rPr>
          <w:bCs/>
          <w:iCs/>
        </w:rPr>
        <w:t>,</w:t>
      </w:r>
      <w:r w:rsidR="00C32AA5">
        <w:rPr>
          <w:bCs/>
          <w:iCs/>
        </w:rPr>
        <w:t xml:space="preserve"> kao i otvorenje šetnice uz Vuku, otvorenje klizališta</w:t>
      </w:r>
      <w:r w:rsidRPr="00014B6E">
        <w:rPr>
          <w:bCs/>
          <w:iCs/>
        </w:rPr>
        <w:t xml:space="preserve"> </w:t>
      </w:r>
      <w:r>
        <w:rPr>
          <w:bCs/>
          <w:iCs/>
        </w:rPr>
        <w:t xml:space="preserve">i </w:t>
      </w:r>
      <w:r w:rsidRPr="00014B6E">
        <w:rPr>
          <w:bCs/>
          <w:iCs/>
        </w:rPr>
        <w:t>Doček Nove godine</w:t>
      </w:r>
      <w:r>
        <w:rPr>
          <w:bCs/>
          <w:iCs/>
        </w:rPr>
        <w:t xml:space="preserve">. </w:t>
      </w:r>
      <w:r w:rsidR="00C32AA5">
        <w:rPr>
          <w:bCs/>
          <w:iCs/>
        </w:rPr>
        <w:t>Od navedenih, neke nisu  bile</w:t>
      </w:r>
      <w:r>
        <w:rPr>
          <w:bCs/>
          <w:iCs/>
        </w:rPr>
        <w:t xml:space="preserve"> planiran</w:t>
      </w:r>
      <w:r w:rsidR="00C32AA5">
        <w:rPr>
          <w:bCs/>
          <w:iCs/>
        </w:rPr>
        <w:t>e</w:t>
      </w:r>
      <w:r>
        <w:rPr>
          <w:bCs/>
          <w:iCs/>
        </w:rPr>
        <w:t>, ali</w:t>
      </w:r>
      <w:r w:rsidR="00C32AA5">
        <w:rPr>
          <w:bCs/>
          <w:iCs/>
        </w:rPr>
        <w:t xml:space="preserve"> upravo to je specifičnost rada TZ, da u hodu prepozna važnost i značenje pojedinih aktivnosti i aktivno se uključi u realizaciju istih</w:t>
      </w:r>
    </w:p>
    <w:p w:rsidR="00FD21EB" w:rsidRDefault="00FD21EB" w:rsidP="006E5B19">
      <w:pPr>
        <w:ind w:firstLine="360"/>
        <w:jc w:val="both"/>
      </w:pPr>
    </w:p>
    <w:p w:rsidR="006E5B19" w:rsidRDefault="006E5B19" w:rsidP="006E5B19">
      <w:pPr>
        <w:ind w:firstLine="360"/>
        <w:jc w:val="both"/>
      </w:pPr>
      <w:r>
        <w:t xml:space="preserve">   Prvosvibanjski izlet u Adici, manifestacija je zabavno-rekreacijskog sadržaja ali i gastro-natjecateljskog karaktera koja svake godine privlači sve više natjecatelja u spravljanju čobanca, čiji trud ocijeni prosudbena komisija, a troje najuspješnijih TZ nagradi prigodnim poklonima.  </w:t>
      </w:r>
    </w:p>
    <w:p w:rsidR="00FD21EB" w:rsidRDefault="00FD21EB" w:rsidP="006E5B19">
      <w:pPr>
        <w:ind w:firstLine="360"/>
        <w:jc w:val="both"/>
      </w:pPr>
    </w:p>
    <w:p w:rsidR="006E5B19" w:rsidRDefault="006E5B19" w:rsidP="006E5B19">
      <w:pPr>
        <w:ind w:firstLine="360"/>
        <w:jc w:val="both"/>
      </w:pPr>
      <w:r>
        <w:t>Dana 03. svibnja na Dan Grada, uz Grad Vukovar kao organizatora, bili smo  suorganizatori manifestacije Živjeti s Dunavom u suradnji s udrugama s područja grada Vukovara.</w:t>
      </w:r>
    </w:p>
    <w:p w:rsidR="00FD21EB" w:rsidRDefault="00FD21EB" w:rsidP="006E5B19">
      <w:pPr>
        <w:jc w:val="both"/>
      </w:pPr>
    </w:p>
    <w:p w:rsidR="006E5B19" w:rsidRDefault="006E5B19" w:rsidP="006E5B19">
      <w:pPr>
        <w:jc w:val="both"/>
      </w:pPr>
      <w:r>
        <w:t xml:space="preserve">Za vrijeme trajanja Vukovar film festivala, TZ je kao i svake godine osigurala promidžbeni materijal i organizirala dežurstva u uredu od 7,00-20,00 sati. </w:t>
      </w:r>
    </w:p>
    <w:p w:rsidR="00FD21EB" w:rsidRDefault="00FD21EB" w:rsidP="006E5B19">
      <w:pPr>
        <w:widowControl w:val="0"/>
        <w:suppressAutoHyphens/>
        <w:jc w:val="both"/>
      </w:pPr>
    </w:p>
    <w:p w:rsidR="00C46DF9" w:rsidRDefault="006E5B19" w:rsidP="006E5B19">
      <w:pPr>
        <w:widowControl w:val="0"/>
        <w:suppressAutoHyphens/>
        <w:jc w:val="both"/>
      </w:pPr>
      <w:r>
        <w:t>Grad Vukovar već tradicionalno organizira vukovarski etno sajam i svake godine TZ je uključena u organizaciju, a ove godine smo</w:t>
      </w:r>
      <w:r w:rsidR="00C46DF9">
        <w:t xml:space="preserve"> uz</w:t>
      </w:r>
      <w:r>
        <w:t xml:space="preserve"> ocjenjivanje štandova i</w:t>
      </w:r>
      <w:r w:rsidR="00C46DF9">
        <w:t xml:space="preserve">mali i prikaz tradicijskih zanata s mogućnošću uključivanja posjetitelja </w:t>
      </w:r>
      <w:r w:rsidR="00BD2950">
        <w:t>u rad na tkalačkom stanu ili lončarskom kolu. Naročito je bio zapažen interes djece za rad u glini.</w:t>
      </w:r>
      <w:r>
        <w:t xml:space="preserve">  </w:t>
      </w:r>
    </w:p>
    <w:p w:rsidR="00FD21EB" w:rsidRDefault="00FD21EB" w:rsidP="006E5B19">
      <w:pPr>
        <w:jc w:val="both"/>
      </w:pPr>
    </w:p>
    <w:p w:rsidR="006E5B19" w:rsidRPr="00857B80" w:rsidRDefault="004618E3" w:rsidP="006E5B19">
      <w:pPr>
        <w:jc w:val="both"/>
        <w:rPr>
          <w:color w:val="000000"/>
          <w:lang w:eastAsia="en-US"/>
        </w:rPr>
      </w:pPr>
      <w:r>
        <w:tab/>
      </w:r>
      <w:r w:rsidR="006E5B19">
        <w:t>Rashodi za komunikac</w:t>
      </w:r>
      <w:r>
        <w:t>ijske vrijednosti ostvareni su u iz</w:t>
      </w:r>
      <w:r w:rsidR="006E5B19">
        <w:t xml:space="preserve">nosu od </w:t>
      </w:r>
      <w:r>
        <w:rPr>
          <w:lang w:eastAsia="en-US"/>
        </w:rPr>
        <w:t xml:space="preserve">139.863,69kn </w:t>
      </w:r>
      <w:r>
        <w:rPr>
          <w:bCs/>
          <w:iCs/>
          <w:lang w:eastAsia="en-US"/>
        </w:rPr>
        <w:t>što predstavlja udio od 13,2%</w:t>
      </w:r>
      <w:r w:rsidRPr="007B6043">
        <w:rPr>
          <w:lang w:eastAsia="en-US"/>
        </w:rPr>
        <w:t xml:space="preserve"> </w:t>
      </w:r>
      <w:r>
        <w:rPr>
          <w:lang w:eastAsia="en-US"/>
        </w:rPr>
        <w:t>u ukupno ostvarenim rashodima.</w:t>
      </w:r>
      <w:r w:rsidR="006E5B19" w:rsidRPr="00857B80">
        <w:rPr>
          <w:color w:val="000000"/>
          <w:lang w:eastAsia="en-US"/>
        </w:rPr>
        <w:t xml:space="preserve"> Pojedinačno gledajući najveći rashodi  ostvareni su za </w:t>
      </w:r>
      <w:r w:rsidR="00967FB6">
        <w:rPr>
          <w:color w:val="000000"/>
          <w:lang w:eastAsia="en-US"/>
        </w:rPr>
        <w:t xml:space="preserve">Offline  komunikaciju </w:t>
      </w:r>
      <w:r w:rsidR="006E5B19" w:rsidRPr="00857B80">
        <w:rPr>
          <w:color w:val="000000"/>
          <w:lang w:eastAsia="en-US"/>
        </w:rPr>
        <w:t xml:space="preserve">u iznosu od </w:t>
      </w:r>
      <w:r w:rsidR="00967FB6">
        <w:rPr>
          <w:color w:val="000000"/>
          <w:lang w:eastAsia="en-US"/>
        </w:rPr>
        <w:t xml:space="preserve">88.853,69kn </w:t>
      </w:r>
      <w:r w:rsidR="006E5B19" w:rsidRPr="00857B80">
        <w:rPr>
          <w:color w:val="000000"/>
          <w:lang w:eastAsia="en-US"/>
        </w:rPr>
        <w:t xml:space="preserve">što </w:t>
      </w:r>
      <w:r w:rsidR="006E5B19">
        <w:rPr>
          <w:bCs/>
          <w:iCs/>
          <w:color w:val="000000"/>
          <w:lang w:eastAsia="en-US"/>
        </w:rPr>
        <w:t xml:space="preserve">predstavlja udio od </w:t>
      </w:r>
      <w:r w:rsidR="00967FB6">
        <w:rPr>
          <w:bCs/>
          <w:iCs/>
          <w:color w:val="000000"/>
          <w:lang w:eastAsia="en-US"/>
        </w:rPr>
        <w:t>8</w:t>
      </w:r>
      <w:r w:rsidR="006E5B19">
        <w:rPr>
          <w:bCs/>
          <w:iCs/>
          <w:color w:val="000000"/>
          <w:lang w:eastAsia="en-US"/>
        </w:rPr>
        <w:t>,</w:t>
      </w:r>
      <w:r w:rsidR="00967FB6">
        <w:rPr>
          <w:bCs/>
          <w:iCs/>
          <w:color w:val="000000"/>
          <w:lang w:eastAsia="en-US"/>
        </w:rPr>
        <w:t>4</w:t>
      </w:r>
      <w:r w:rsidR="006E5B19" w:rsidRPr="00857B80">
        <w:rPr>
          <w:bCs/>
          <w:iCs/>
          <w:color w:val="000000"/>
          <w:lang w:eastAsia="en-US"/>
        </w:rPr>
        <w:t xml:space="preserve">%  </w:t>
      </w:r>
      <w:r w:rsidR="006E5B19" w:rsidRPr="00857B80">
        <w:rPr>
          <w:bCs/>
          <w:color w:val="000000"/>
          <w:lang w:eastAsia="en-US"/>
        </w:rPr>
        <w:t xml:space="preserve"> </w:t>
      </w:r>
      <w:r w:rsidR="006E5B19" w:rsidRPr="00857B80">
        <w:rPr>
          <w:color w:val="000000"/>
          <w:lang w:eastAsia="en-US"/>
        </w:rPr>
        <w:t>u ukupno ostvarenim rashodima i to za dotisak</w:t>
      </w:r>
      <w:r w:rsidR="00967FB6">
        <w:rPr>
          <w:color w:val="000000"/>
          <w:lang w:eastAsia="en-US"/>
        </w:rPr>
        <w:t>tiskanih materijala</w:t>
      </w:r>
      <w:r w:rsidR="006E5B19" w:rsidRPr="00857B80">
        <w:rPr>
          <w:color w:val="000000"/>
          <w:lang w:eastAsia="en-US"/>
        </w:rPr>
        <w:t xml:space="preserve">   </w:t>
      </w:r>
      <w:r w:rsidR="00967FB6">
        <w:rPr>
          <w:color w:val="000000"/>
          <w:lang w:eastAsia="en-US"/>
        </w:rPr>
        <w:t>61.262,94</w:t>
      </w:r>
      <w:r w:rsidR="006E5B19" w:rsidRPr="00857B80">
        <w:rPr>
          <w:color w:val="000000"/>
          <w:lang w:eastAsia="en-US"/>
        </w:rPr>
        <w:t xml:space="preserve">kn, </w:t>
      </w:r>
      <w:r w:rsidR="00967FB6">
        <w:rPr>
          <w:color w:val="000000"/>
          <w:lang w:eastAsia="en-US"/>
        </w:rPr>
        <w:t>a za suvenire</w:t>
      </w:r>
      <w:r w:rsidR="006E5B19" w:rsidRPr="00857B80">
        <w:rPr>
          <w:color w:val="000000"/>
          <w:lang w:eastAsia="en-US"/>
        </w:rPr>
        <w:t xml:space="preserve"> </w:t>
      </w:r>
      <w:r w:rsidR="00967FB6">
        <w:rPr>
          <w:color w:val="000000"/>
          <w:lang w:eastAsia="en-US"/>
        </w:rPr>
        <w:t>i ostali promo materijal 24.641,25kn, dok je za oglašavanje u tisku utrošeno 2.949,50kn.</w:t>
      </w:r>
    </w:p>
    <w:p w:rsidR="00FD21EB" w:rsidRDefault="00FD21EB" w:rsidP="006E5B19">
      <w:pPr>
        <w:jc w:val="both"/>
        <w:rPr>
          <w:lang w:eastAsia="en-US"/>
        </w:rPr>
      </w:pPr>
    </w:p>
    <w:p w:rsidR="006E5B19" w:rsidRPr="00A55258" w:rsidRDefault="006E5B19" w:rsidP="006E5B19">
      <w:pPr>
        <w:jc w:val="both"/>
      </w:pPr>
      <w:r w:rsidRPr="00A55258">
        <w:rPr>
          <w:lang w:eastAsia="en-US"/>
        </w:rPr>
        <w:t>Rashodi za distribuciju</w:t>
      </w:r>
      <w:r w:rsidR="00967FB6">
        <w:rPr>
          <w:lang w:eastAsia="en-US"/>
        </w:rPr>
        <w:t xml:space="preserve"> i prodaju vrijednosti</w:t>
      </w:r>
      <w:r>
        <w:rPr>
          <w:lang w:eastAsia="en-US"/>
        </w:rPr>
        <w:t xml:space="preserve"> ostvareni su u iznosu od </w:t>
      </w:r>
      <w:r w:rsidR="00967FB6">
        <w:rPr>
          <w:lang w:eastAsia="en-US"/>
        </w:rPr>
        <w:t xml:space="preserve">19.553,83kn </w:t>
      </w:r>
      <w:r>
        <w:rPr>
          <w:bCs/>
          <w:iCs/>
          <w:lang w:eastAsia="en-US"/>
        </w:rPr>
        <w:t xml:space="preserve">što predstavlja </w:t>
      </w:r>
      <w:r w:rsidR="00967FB6">
        <w:rPr>
          <w:bCs/>
          <w:iCs/>
          <w:lang w:eastAsia="en-US"/>
        </w:rPr>
        <w:t>1,8</w:t>
      </w:r>
      <w:r>
        <w:rPr>
          <w:bCs/>
          <w:iCs/>
          <w:lang w:eastAsia="en-US"/>
        </w:rPr>
        <w:t xml:space="preserve">% </w:t>
      </w:r>
      <w:r>
        <w:rPr>
          <w:lang w:eastAsia="en-US"/>
        </w:rPr>
        <w:t>u ukupno ostvarenim rashodima.</w:t>
      </w:r>
    </w:p>
    <w:p w:rsidR="00FD21EB" w:rsidRDefault="00FD21EB" w:rsidP="00C43ADD">
      <w:pPr>
        <w:widowControl w:val="0"/>
        <w:suppressAutoHyphens/>
        <w:contextualSpacing/>
        <w:jc w:val="both"/>
      </w:pPr>
    </w:p>
    <w:p w:rsidR="00C43ADD" w:rsidRPr="00D058FF" w:rsidRDefault="006E5B19" w:rsidP="00C43ADD">
      <w:pPr>
        <w:widowControl w:val="0"/>
        <w:suppressAutoHyphens/>
        <w:contextualSpacing/>
        <w:jc w:val="both"/>
      </w:pPr>
      <w:r>
        <w:t>Tijekom 201</w:t>
      </w:r>
      <w:r w:rsidR="00967FB6">
        <w:t>3</w:t>
      </w:r>
      <w:r>
        <w:t>.g. promocijske aktivnosti bile su usmjerene na posebne prezentacije i pojedine sajmove.  Što se tiče nastupa na sajmovima i prezentacija,</w:t>
      </w:r>
      <w:r w:rsidR="00967FB6">
        <w:t xml:space="preserve"> u ožujku smo</w:t>
      </w:r>
      <w:r>
        <w:t xml:space="preserve"> </w:t>
      </w:r>
      <w:r w:rsidR="00967FB6">
        <w:t>sudjelovali na Međunarodnom sajmu turizma u Parizu, u dijelu sajma pod nazivom Turizam sjećanja</w:t>
      </w:r>
      <w:r w:rsidR="00C43ADD">
        <w:t>, posjetili sajam u Beču, a U Puli sudjelovali na predstavljanju turističke ponude naše županije na manifestaciji Slavonski gušti.</w:t>
      </w:r>
    </w:p>
    <w:p w:rsidR="00C43ADD" w:rsidRDefault="006E5B19" w:rsidP="006E5B19">
      <w:pPr>
        <w:jc w:val="both"/>
      </w:pPr>
      <w:r>
        <w:t xml:space="preserve">Kod izrade godišnjih programa, mi još ne znamo kakvi će natječaji biti raspisani, stoga su te stavke podložne izmjenama. Tako smo za novi turistički proizvod </w:t>
      </w:r>
      <w:r w:rsidR="00C43ADD">
        <w:t>kandidirali aplikaciju Virtualna šetnja Vukovarom, za što nam je odobreno 24.600,00kn.</w:t>
      </w:r>
    </w:p>
    <w:p w:rsidR="00FD21EB" w:rsidRDefault="00FD21EB" w:rsidP="00C43ADD">
      <w:pPr>
        <w:ind w:firstLine="360"/>
        <w:jc w:val="both"/>
      </w:pPr>
    </w:p>
    <w:p w:rsidR="006E5B19" w:rsidRDefault="006E5B19" w:rsidP="00C43ADD">
      <w:pPr>
        <w:ind w:firstLine="360"/>
        <w:jc w:val="both"/>
        <w:rPr>
          <w:color w:val="000000"/>
        </w:rPr>
      </w:pPr>
      <w:r>
        <w:lastRenderedPageBreak/>
        <w:t>Krajem srpnja, zajedno s Gradom, bili smo organizatori dočeka sudionika 5</w:t>
      </w:r>
      <w:r w:rsidR="00C43ADD">
        <w:t>9</w:t>
      </w:r>
      <w:r>
        <w:t>. TID regate, kada je organizirana večer</w:t>
      </w:r>
      <w:r w:rsidR="00C43ADD">
        <w:t>a</w:t>
      </w:r>
      <w:r>
        <w:t xml:space="preserve"> </w:t>
      </w:r>
      <w:r w:rsidR="00C43ADD">
        <w:t xml:space="preserve">i druženje, </w:t>
      </w:r>
      <w:r>
        <w:t xml:space="preserve">a TZ se pobrinula da, osim poklona koje je Grad pripremio za predstavnike pojedinih država, i svaki sudionik (njih više od sto) dobije simboličan poklon </w:t>
      </w:r>
      <w:r w:rsidR="00C43ADD">
        <w:t>– licitarsko srce Vukovar.</w:t>
      </w:r>
    </w:p>
    <w:p w:rsidR="006E5B19" w:rsidRDefault="006E5B19" w:rsidP="006E5B19">
      <w:pPr>
        <w:jc w:val="both"/>
      </w:pPr>
    </w:p>
    <w:p w:rsidR="006E5B19" w:rsidRDefault="006E5B19" w:rsidP="006E5B19">
      <w:pPr>
        <w:jc w:val="both"/>
      </w:pPr>
      <w:r>
        <w:t xml:space="preserve">Rashodi za administrativni marketing ostvareni su u iznosu od </w:t>
      </w:r>
      <w:r w:rsidR="009500D0">
        <w:t>472.575,01kn što predstavlja udio od 44</w:t>
      </w:r>
      <w:r>
        <w:t>,</w:t>
      </w:r>
      <w:r w:rsidR="009500D0">
        <w:t>4</w:t>
      </w:r>
      <w:r>
        <w:t>% u ukupno ostvarenim rashodima. Pojedinačno gledajući, najveći rashodi ostvareni su za radnike u iznosu 40</w:t>
      </w:r>
      <w:r w:rsidR="009500D0">
        <w:t>0.843</w:t>
      </w:r>
      <w:r>
        <w:t>,</w:t>
      </w:r>
      <w:r w:rsidR="009500D0">
        <w:t>1</w:t>
      </w:r>
      <w:r>
        <w:t xml:space="preserve">5 </w:t>
      </w:r>
      <w:r w:rsidR="009500D0">
        <w:rPr>
          <w:bCs/>
          <w:iCs/>
          <w:lang w:eastAsia="en-US"/>
        </w:rPr>
        <w:t>kn što predstavlja udio od  37,7</w:t>
      </w:r>
      <w:r>
        <w:rPr>
          <w:bCs/>
          <w:iCs/>
          <w:lang w:eastAsia="en-US"/>
        </w:rPr>
        <w:t xml:space="preserve">,1% </w:t>
      </w:r>
      <w:r>
        <w:t>u ukupno ostvarenim rashodima.</w:t>
      </w:r>
    </w:p>
    <w:p w:rsidR="006E5B19" w:rsidRDefault="006E5B19" w:rsidP="006E5B19">
      <w:pPr>
        <w:pStyle w:val="ListParagraph"/>
        <w:ind w:left="0"/>
        <w:jc w:val="both"/>
        <w:rPr>
          <w:color w:val="000000"/>
        </w:rPr>
      </w:pPr>
      <w:r>
        <w:rPr>
          <w:color w:val="000000"/>
        </w:rPr>
        <w:t xml:space="preserve">Budući su ostvareni prihodi bili manji od prvobitno  planiranih, a rashodi također, u prosincu su rađene izmjene i dopune Godišnjeg programa rada i financijskog plana sukladno članku 62. Stavku 5. Zakona o turističkim zajednicama i promicanju hrvatskog turizma (NN 152/08)., no odstupanja </w:t>
      </w:r>
      <w:r w:rsidR="009500D0">
        <w:rPr>
          <w:color w:val="000000"/>
        </w:rPr>
        <w:t>opet ima, upravo na strani prihoda, koji je veći od planiranog po rebalansu. Nije moguće predvidjeti dinamiku uplate turističke članarine, stoga se i javljaju ove razlike. Drago nam je što bilježimo znatno povećanje boravišne pristojbe u odnosu na prvobitno planiranu</w:t>
      </w:r>
      <w:r w:rsidR="00471EBD">
        <w:rPr>
          <w:color w:val="000000"/>
        </w:rPr>
        <w:t>, a to je rezultat povećanja broja privatnih smještajnih kapaciteta, ali i održavanja značajnijih sportskih događanja u Vukovaru.</w:t>
      </w:r>
    </w:p>
    <w:p w:rsidR="00482DDE" w:rsidRDefault="00482DDE" w:rsidP="006E5B19">
      <w:pPr>
        <w:pStyle w:val="ListParagraph"/>
        <w:ind w:left="0"/>
        <w:jc w:val="both"/>
        <w:rPr>
          <w:color w:val="000000"/>
        </w:rPr>
      </w:pPr>
    </w:p>
    <w:p w:rsidR="00482DDE" w:rsidRDefault="00482DDE" w:rsidP="006E5B19">
      <w:pPr>
        <w:pStyle w:val="ListParagraph"/>
        <w:ind w:left="0"/>
        <w:jc w:val="both"/>
        <w:rPr>
          <w:color w:val="000000"/>
        </w:rPr>
      </w:pPr>
      <w:r>
        <w:rPr>
          <w:color w:val="000000"/>
        </w:rPr>
        <w:t>I za kraj, u listopadu 2013.g. započela je financijska revizija poslovanja TZ grada Vukovara za 2012.g. Do danas nije stiglo konačno izvješće, već samo Nacrt revizije, u siječnju 2014. na koji smo bili dužni očitovati se i sad čekamo konačno izvješće. Ipak, u nacrtu piše da je nalaz revizije bezuvjetan, s tim što su uvedeni i neki noviteti, te revizija na osnovu analize aktivnosti ocjenjuje i efikasnost rada, što ćemo vam predočiti po primitku.</w:t>
      </w:r>
    </w:p>
    <w:p w:rsidR="006E5B19" w:rsidRDefault="006E5B19" w:rsidP="006E5B19">
      <w:pPr>
        <w:pStyle w:val="ListParagraph"/>
        <w:ind w:left="0"/>
        <w:jc w:val="both"/>
        <w:rPr>
          <w:color w:val="000000"/>
        </w:rPr>
      </w:pPr>
    </w:p>
    <w:p w:rsidR="00FD21EB" w:rsidRDefault="00FD21EB" w:rsidP="006E5B19">
      <w:pPr>
        <w:pStyle w:val="ListParagraph"/>
        <w:ind w:left="0"/>
        <w:jc w:val="both"/>
        <w:rPr>
          <w:color w:val="000000"/>
        </w:rPr>
      </w:pPr>
    </w:p>
    <w:p w:rsidR="00FD21EB" w:rsidRDefault="00FD21EB" w:rsidP="006E5B19">
      <w:pPr>
        <w:pStyle w:val="ListParagraph"/>
        <w:ind w:left="0"/>
        <w:jc w:val="both"/>
        <w:rPr>
          <w:color w:val="000000"/>
        </w:rPr>
      </w:pPr>
    </w:p>
    <w:p w:rsidR="00FD21EB" w:rsidRDefault="00FD21EB" w:rsidP="006E5B19">
      <w:pPr>
        <w:pStyle w:val="ListParagraph"/>
        <w:ind w:left="0"/>
        <w:jc w:val="both"/>
        <w:rPr>
          <w:color w:val="000000"/>
        </w:rPr>
      </w:pPr>
    </w:p>
    <w:p w:rsidR="006E5B19" w:rsidRDefault="006E5B19" w:rsidP="006E5B19">
      <w:pPr>
        <w:pStyle w:val="ListParagraph"/>
        <w:ind w:left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Direktor TU:</w:t>
      </w:r>
    </w:p>
    <w:p w:rsidR="006E5B19" w:rsidRDefault="006E5B19" w:rsidP="006E5B19">
      <w:pPr>
        <w:pStyle w:val="ListParagraph"/>
        <w:ind w:left="0"/>
        <w:jc w:val="both"/>
        <w:rPr>
          <w:color w:val="000000"/>
        </w:rPr>
      </w:pPr>
    </w:p>
    <w:p w:rsidR="006E5B19" w:rsidRDefault="006E5B19" w:rsidP="006E5B19">
      <w:pPr>
        <w:pStyle w:val="ListParagraph"/>
        <w:ind w:left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</w:t>
      </w:r>
      <w:r w:rsidR="00FD21EB">
        <w:rPr>
          <w:color w:val="000000"/>
        </w:rPr>
        <w:t xml:space="preserve">   </w:t>
      </w:r>
      <w:r>
        <w:rPr>
          <w:color w:val="000000"/>
        </w:rPr>
        <w:t xml:space="preserve"> Jasna Babić, dipl. oec</w:t>
      </w:r>
    </w:p>
    <w:p w:rsidR="00AB4335" w:rsidRDefault="00AB4335"/>
    <w:sectPr w:rsidR="00AB4335" w:rsidSect="00C13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A1FFE"/>
    <w:multiLevelType w:val="hybridMultilevel"/>
    <w:tmpl w:val="A3964C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5B19"/>
    <w:rsid w:val="0002261F"/>
    <w:rsid w:val="000707DC"/>
    <w:rsid w:val="000A1396"/>
    <w:rsid w:val="000A7CAA"/>
    <w:rsid w:val="000D1706"/>
    <w:rsid w:val="000E0263"/>
    <w:rsid w:val="00100080"/>
    <w:rsid w:val="0010310E"/>
    <w:rsid w:val="001454E9"/>
    <w:rsid w:val="001627F5"/>
    <w:rsid w:val="00170B73"/>
    <w:rsid w:val="001D5E85"/>
    <w:rsid w:val="001F2896"/>
    <w:rsid w:val="00217586"/>
    <w:rsid w:val="00261479"/>
    <w:rsid w:val="00267F62"/>
    <w:rsid w:val="00293715"/>
    <w:rsid w:val="002C35B5"/>
    <w:rsid w:val="002D1426"/>
    <w:rsid w:val="002E3EDD"/>
    <w:rsid w:val="00351616"/>
    <w:rsid w:val="003E2B7F"/>
    <w:rsid w:val="00426645"/>
    <w:rsid w:val="004618E3"/>
    <w:rsid w:val="00467BE9"/>
    <w:rsid w:val="00471EBD"/>
    <w:rsid w:val="00482DDE"/>
    <w:rsid w:val="004A3EF6"/>
    <w:rsid w:val="005B520B"/>
    <w:rsid w:val="00612F31"/>
    <w:rsid w:val="00615582"/>
    <w:rsid w:val="00626EFD"/>
    <w:rsid w:val="00662B40"/>
    <w:rsid w:val="00673B4A"/>
    <w:rsid w:val="00680714"/>
    <w:rsid w:val="006D752B"/>
    <w:rsid w:val="006E5B19"/>
    <w:rsid w:val="00755BD2"/>
    <w:rsid w:val="007A6216"/>
    <w:rsid w:val="007A7B3A"/>
    <w:rsid w:val="007B1A70"/>
    <w:rsid w:val="00844288"/>
    <w:rsid w:val="0085357E"/>
    <w:rsid w:val="00887927"/>
    <w:rsid w:val="00907D54"/>
    <w:rsid w:val="00932F0E"/>
    <w:rsid w:val="009500D0"/>
    <w:rsid w:val="00951181"/>
    <w:rsid w:val="00952256"/>
    <w:rsid w:val="00967FB6"/>
    <w:rsid w:val="009E63CC"/>
    <w:rsid w:val="00AB4335"/>
    <w:rsid w:val="00B20943"/>
    <w:rsid w:val="00B2505C"/>
    <w:rsid w:val="00B52289"/>
    <w:rsid w:val="00BA0EF1"/>
    <w:rsid w:val="00BB3825"/>
    <w:rsid w:val="00BD2950"/>
    <w:rsid w:val="00C13CCF"/>
    <w:rsid w:val="00C32AA5"/>
    <w:rsid w:val="00C43ADD"/>
    <w:rsid w:val="00C46DF9"/>
    <w:rsid w:val="00CC35ED"/>
    <w:rsid w:val="00CD3C6A"/>
    <w:rsid w:val="00D0588D"/>
    <w:rsid w:val="00D074A0"/>
    <w:rsid w:val="00DC20E9"/>
    <w:rsid w:val="00DC59A4"/>
    <w:rsid w:val="00DD3C39"/>
    <w:rsid w:val="00DD3F90"/>
    <w:rsid w:val="00DD44C1"/>
    <w:rsid w:val="00DF5C89"/>
    <w:rsid w:val="00E253DE"/>
    <w:rsid w:val="00EA56FB"/>
    <w:rsid w:val="00F07BA8"/>
    <w:rsid w:val="00F91E37"/>
    <w:rsid w:val="00F940EB"/>
    <w:rsid w:val="00FD21EB"/>
    <w:rsid w:val="00FD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B19"/>
    <w:pPr>
      <w:keepNext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E5B1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E5B1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6E5B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5B1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E5B19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6E5B19"/>
    <w:rPr>
      <w:rFonts w:ascii="Cambria" w:eastAsia="Times New Roman" w:hAnsi="Cambria" w:cs="Times New Roman"/>
      <w:b/>
      <w:bCs/>
      <w:color w:val="4F81BD"/>
      <w:sz w:val="24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6E5B19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E5B1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Babić</dc:creator>
  <cp:lastModifiedBy>Marijana</cp:lastModifiedBy>
  <cp:revision>2</cp:revision>
  <dcterms:created xsi:type="dcterms:W3CDTF">2014-02-19T11:28:00Z</dcterms:created>
  <dcterms:modified xsi:type="dcterms:W3CDTF">2014-02-19T11:28:00Z</dcterms:modified>
</cp:coreProperties>
</file>